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6662"/>
      </w:tblGrid>
      <w:tr w:rsidR="00DC4148">
        <w:tc>
          <w:tcPr>
            <w:tcW w:w="4465" w:type="dxa"/>
            <w:tcBorders>
              <w:right w:val="single" w:sz="2" w:space="0" w:color="000080"/>
            </w:tcBorders>
          </w:tcPr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6F6F29">
            <w:pPr>
              <w:jc w:val="center"/>
              <w:rPr>
                <w:color w:val="000080"/>
                <w:sz w:val="16"/>
              </w:rPr>
            </w:pPr>
            <w:r>
              <w:rPr>
                <w:noProof/>
              </w:rPr>
              <w:drawing>
                <wp:inline distT="0" distB="0" distL="0" distR="0">
                  <wp:extent cx="1962150" cy="514350"/>
                  <wp:effectExtent l="0" t="0" r="0" b="0"/>
                  <wp:docPr id="1" name="Immagine 1" descr="CADIT_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DIT_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Pr="005B5620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 w:rsidRPr="005B5620">
              <w:rPr>
                <w:color w:val="000080"/>
                <w:sz w:val="16"/>
              </w:rPr>
              <w:t>CAD IT S.p.A.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Via Torricelli, 44/a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37136 Verona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proofErr w:type="spellStart"/>
            <w:r>
              <w:rPr>
                <w:color w:val="000080"/>
                <w:sz w:val="16"/>
              </w:rPr>
              <w:t>Tel</w:t>
            </w:r>
            <w:proofErr w:type="spellEnd"/>
            <w:r>
              <w:rPr>
                <w:color w:val="000080"/>
                <w:sz w:val="16"/>
              </w:rPr>
              <w:t xml:space="preserve"> 045 – 8211111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Fax 045 - 8211110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www.cadit.it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cadit@cadit.it</w:t>
            </w:r>
          </w:p>
          <w:p w:rsidR="00DC4148" w:rsidRDefault="00DC4148">
            <w:pPr>
              <w:jc w:val="center"/>
            </w:pPr>
          </w:p>
        </w:tc>
        <w:tc>
          <w:tcPr>
            <w:tcW w:w="6662" w:type="dxa"/>
          </w:tcPr>
          <w:p w:rsidR="00DC4148" w:rsidRDefault="00DC4148">
            <w:pPr>
              <w:keepNext/>
              <w:ind w:left="497"/>
              <w:rPr>
                <w:color w:val="000080"/>
              </w:rPr>
            </w:pPr>
            <w:bookmarkStart w:id="0" w:name="Copertina"/>
            <w:bookmarkEnd w:id="0"/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ind w:left="497"/>
              <w:rPr>
                <w:color w:val="000080"/>
                <w:sz w:val="52"/>
              </w:rPr>
            </w:pPr>
            <w:r>
              <w:rPr>
                <w:color w:val="000080"/>
                <w:sz w:val="52"/>
              </w:rPr>
              <w:fldChar w:fldCharType="begin"/>
            </w:r>
            <w:r>
              <w:rPr>
                <w:color w:val="000080"/>
                <w:sz w:val="52"/>
              </w:rPr>
              <w:instrText xml:space="preserve"> SUBJECT  \* MERGEFORMAT </w:instrText>
            </w:r>
            <w:r>
              <w:rPr>
                <w:color w:val="000080"/>
                <w:sz w:val="52"/>
              </w:rPr>
              <w:fldChar w:fldCharType="separate"/>
            </w:r>
            <w:r>
              <w:rPr>
                <w:color w:val="000080"/>
                <w:sz w:val="52"/>
              </w:rPr>
              <w:t>S E T</w:t>
            </w:r>
          </w:p>
          <w:p w:rsidR="00DC4148" w:rsidRDefault="00DC4148">
            <w:pPr>
              <w:ind w:left="497"/>
              <w:rPr>
                <w:color w:val="000080"/>
                <w:sz w:val="52"/>
              </w:rPr>
            </w:pPr>
            <w:r>
              <w:rPr>
                <w:color w:val="000080"/>
                <w:sz w:val="52"/>
              </w:rPr>
              <w:t xml:space="preserve">Sistema Esazione Tributi </w:t>
            </w:r>
            <w:r>
              <w:rPr>
                <w:color w:val="000080"/>
                <w:sz w:val="52"/>
              </w:rPr>
              <w:fldChar w:fldCharType="end"/>
            </w: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pStyle w:val="Rientrocorpodeltesto"/>
              <w:ind w:left="497"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b/>
                <w:sz w:val="40"/>
              </w:rPr>
              <w:fldChar w:fldCharType="begin"/>
            </w:r>
            <w:r>
              <w:rPr>
                <w:rFonts w:ascii="Times New Roman" w:hAnsi="Times New Roman"/>
                <w:b/>
                <w:sz w:val="40"/>
              </w:rPr>
              <w:instrText xml:space="preserve"> TITLE  \* MERGEFORMAT </w:instrText>
            </w:r>
            <w:r>
              <w:rPr>
                <w:rFonts w:ascii="Times New Roman" w:hAnsi="Times New Roman"/>
                <w:b/>
                <w:sz w:val="40"/>
              </w:rPr>
              <w:fldChar w:fldCharType="separate"/>
            </w:r>
            <w:r w:rsidR="00B9349F">
              <w:rPr>
                <w:rFonts w:ascii="Times New Roman" w:hAnsi="Times New Roman"/>
                <w:b/>
                <w:sz w:val="40"/>
              </w:rPr>
              <w:t>Logica di business</w:t>
            </w:r>
            <w:r>
              <w:rPr>
                <w:rFonts w:ascii="Times New Roman" w:hAnsi="Times New Roman"/>
                <w:b/>
                <w:sz w:val="40"/>
              </w:rPr>
              <w:fldChar w:fldCharType="end"/>
            </w:r>
          </w:p>
          <w:p w:rsidR="00DC4148" w:rsidRDefault="00DC4148">
            <w:pPr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</w:tc>
      </w:tr>
    </w:tbl>
    <w:p w:rsidR="00DC4148" w:rsidRDefault="00DC4148">
      <w:pPr>
        <w:jc w:val="left"/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sectPr w:rsidR="00DC4148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851" w:right="567" w:bottom="567" w:left="454" w:header="720" w:footer="284" w:gutter="0"/>
          <w:pgNumType w:fmt="upperLetter" w:start="13"/>
          <w:cols w:space="720"/>
          <w:titlePg/>
        </w:sectPr>
      </w:pPr>
    </w:p>
    <w:p w:rsidR="00DC4148" w:rsidRDefault="00DC4148">
      <w:pPr>
        <w:pStyle w:val="titoloNoNum"/>
      </w:pPr>
      <w:bookmarkStart w:id="1" w:name="_Toc417376683"/>
      <w:r>
        <w:lastRenderedPageBreak/>
        <w:t>RIEPILOGO INFORMAZIONI</w:t>
      </w:r>
      <w:bookmarkStart w:id="2" w:name="RiepilogoInfo"/>
      <w:bookmarkEnd w:id="1"/>
      <w:bookmarkEnd w:id="2"/>
    </w:p>
    <w:tbl>
      <w:tblPr>
        <w:tblW w:w="0" w:type="auto"/>
        <w:tblBorders>
          <w:top w:val="single" w:sz="4" w:space="0" w:color="FFFF00"/>
          <w:left w:val="single" w:sz="4" w:space="0" w:color="FFFF00"/>
          <w:bottom w:val="single" w:sz="4" w:space="0" w:color="FFFF00"/>
          <w:right w:val="single" w:sz="4" w:space="0" w:color="FFFF00"/>
          <w:insideH w:val="single" w:sz="6" w:space="0" w:color="FFFF00"/>
          <w:insideV w:val="single" w:sz="6" w:space="0" w:color="FFFF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536"/>
      </w:tblGrid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pStyle w:val="Indice1"/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 xml:space="preserve">Titolo </w:t>
            </w:r>
          </w:p>
        </w:tc>
        <w:tc>
          <w:tcPr>
            <w:tcW w:w="4536" w:type="dxa"/>
          </w:tcPr>
          <w:p w:rsidR="00DC4148" w:rsidRDefault="00B9349F" w:rsidP="00B9349F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t>Logica di business</w:t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  <w:lang w:val="en-US"/>
              </w:rPr>
            </w:pPr>
            <w:proofErr w:type="spellStart"/>
            <w:r>
              <w:rPr>
                <w:smallCaps/>
                <w:color w:val="000080"/>
                <w:lang w:val="en-US"/>
              </w:rPr>
              <w:t>Autore</w:t>
            </w:r>
            <w:proofErr w:type="spellEnd"/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  <w:lang w:val="en-US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  <w:lang w:val="en-US"/>
              </w:rPr>
              <w:instrText>\AUTHOR</w:instrText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  <w:lang w:val="en-US"/>
              </w:rPr>
              <w:t>CAD IT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Versione del</w:t>
            </w:r>
          </w:p>
        </w:tc>
        <w:tc>
          <w:tcPr>
            <w:tcW w:w="4536" w:type="dxa"/>
          </w:tcPr>
          <w:p w:rsidR="00DC4148" w:rsidRDefault="0024496E" w:rsidP="00B9349F">
            <w:pPr>
              <w:tabs>
                <w:tab w:val="left" w:pos="993"/>
              </w:tabs>
              <w:spacing w:before="120" w:after="120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30.0</w:t>
            </w:r>
            <w:r w:rsidR="00B9349F">
              <w:rPr>
                <w:b/>
                <w:color w:val="000080"/>
              </w:rPr>
              <w:t>9</w:t>
            </w:r>
            <w:r>
              <w:rPr>
                <w:b/>
                <w:color w:val="000080"/>
              </w:rPr>
              <w:t>.2014</w:t>
            </w:r>
            <w:r w:rsidR="00DC4148">
              <w:rPr>
                <w:b/>
                <w:color w:val="000080"/>
              </w:rPr>
              <w:fldChar w:fldCharType="begin"/>
            </w:r>
            <w:r w:rsidR="00DC4148">
              <w:rPr>
                <w:b/>
                <w:color w:val="000080"/>
              </w:rPr>
              <w:instrText>\COMMENTS</w:instrText>
            </w:r>
            <w:r w:rsidR="00DC4148">
              <w:rPr>
                <w:b/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Nome del File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jc w:val="left"/>
              <w:rPr>
                <w:color w:val="000080"/>
                <w:lang w:val="de-DE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  <w:lang w:val="de-DE"/>
              </w:rPr>
              <w:instrText xml:space="preserve"> FILENAME \p  \* MERGEFORMAT </w:instrText>
            </w:r>
            <w:r>
              <w:rPr>
                <w:color w:val="000080"/>
              </w:rPr>
              <w:fldChar w:fldCharType="separate"/>
            </w:r>
            <w:r w:rsidR="00B9349F">
              <w:rPr>
                <w:noProof/>
                <w:color w:val="000080"/>
                <w:lang w:val="de-DE"/>
              </w:rPr>
              <w:t>D:\EquitaliaServizi\NuoviProgetti\SET_DocumentazioneSistema\Documentazione_descrittiva\02_02_LogicaDiBusiness.docx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Modello Impiegato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</w:rPr>
              <w:instrText>\TEMPLATE</w:instrText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CADITOPE.DOT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Data di Creazione</w:t>
            </w:r>
          </w:p>
        </w:tc>
        <w:tc>
          <w:tcPr>
            <w:tcW w:w="4536" w:type="dxa"/>
          </w:tcPr>
          <w:p w:rsidR="00DC4148" w:rsidRDefault="00DC4148" w:rsidP="00B9349F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</w:rPr>
              <w:instrText xml:space="preserve"> CREATEDATE \@ "dd/MM/yyyy" \* MERGEFORMAT </w:instrText>
            </w:r>
            <w:r>
              <w:rPr>
                <w:color w:val="000080"/>
              </w:rPr>
              <w:fldChar w:fldCharType="separate"/>
            </w:r>
            <w:r w:rsidR="0024496E">
              <w:rPr>
                <w:noProof/>
                <w:color w:val="000080"/>
              </w:rPr>
              <w:t>30/0</w:t>
            </w:r>
            <w:r w:rsidR="00B9349F">
              <w:rPr>
                <w:noProof/>
                <w:color w:val="000080"/>
              </w:rPr>
              <w:t>9</w:t>
            </w:r>
            <w:r w:rsidR="0024496E">
              <w:rPr>
                <w:noProof/>
                <w:color w:val="000080"/>
              </w:rPr>
              <w:t>/2014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Approvato da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 xml:space="preserve">Firma Responsabile 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</w:p>
        </w:tc>
      </w:tr>
    </w:tbl>
    <w:p w:rsidR="00DC4148" w:rsidRDefault="00DC4148">
      <w:pPr>
        <w:jc w:val="left"/>
      </w:pPr>
    </w:p>
    <w:p w:rsidR="00DC4148" w:rsidRDefault="00DC4148">
      <w:pPr>
        <w:jc w:val="left"/>
        <w:sectPr w:rsidR="00DC4148">
          <w:headerReference w:type="even" r:id="rId13"/>
          <w:headerReference w:type="default" r:id="rId14"/>
          <w:footerReference w:type="even" r:id="rId15"/>
          <w:footerReference w:type="default" r:id="rId16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</w:p>
    <w:p w:rsidR="00DC108A" w:rsidRDefault="00DC108A" w:rsidP="00DC108A">
      <w:pPr>
        <w:pStyle w:val="titoloNoNum"/>
        <w:keepLines/>
      </w:pPr>
      <w:bookmarkStart w:id="3" w:name="_Toc471215335"/>
      <w:bookmarkStart w:id="4" w:name="_Toc391907779"/>
      <w:bookmarkStart w:id="5" w:name="_Toc64971056"/>
      <w:r>
        <w:lastRenderedPageBreak/>
        <w:t>INDICE</w:t>
      </w:r>
    </w:p>
    <w:p w:rsidR="0062089D" w:rsidRDefault="00DC108A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"2-5" \t "Heading 1;Titolo 1" </w:instrText>
      </w:r>
      <w:r>
        <w:fldChar w:fldCharType="separate"/>
      </w:r>
      <w:r w:rsidR="0062089D">
        <w:rPr>
          <w:noProof/>
        </w:rPr>
        <w:t>1</w:t>
      </w:r>
      <w:r w:rsidR="0062089D">
        <w:rPr>
          <w:rFonts w:asciiTheme="minorHAnsi" w:eastAsiaTheme="minorEastAsia" w:hAnsiTheme="minorHAnsi" w:cstheme="minorBidi"/>
          <w:noProof/>
          <w:szCs w:val="22"/>
        </w:rPr>
        <w:tab/>
      </w:r>
      <w:r w:rsidR="0062089D">
        <w:rPr>
          <w:noProof/>
        </w:rPr>
        <w:t>INTRODUZIONE</w:t>
      </w:r>
      <w:r w:rsidR="0062089D">
        <w:rPr>
          <w:noProof/>
        </w:rPr>
        <w:tab/>
      </w:r>
      <w:r w:rsidR="0062089D">
        <w:rPr>
          <w:noProof/>
        </w:rPr>
        <w:fldChar w:fldCharType="begin"/>
      </w:r>
      <w:r w:rsidR="0062089D">
        <w:rPr>
          <w:noProof/>
        </w:rPr>
        <w:instrText xml:space="preserve"> PAGEREF _Toc400110676 \h </w:instrText>
      </w:r>
      <w:r w:rsidR="0062089D">
        <w:rPr>
          <w:noProof/>
        </w:rPr>
      </w:r>
      <w:r w:rsidR="0062089D">
        <w:rPr>
          <w:noProof/>
        </w:rPr>
        <w:fldChar w:fldCharType="separate"/>
      </w:r>
      <w:r w:rsidR="0062089D">
        <w:rPr>
          <w:noProof/>
        </w:rPr>
        <w:t>2</w:t>
      </w:r>
      <w:r w:rsidR="0062089D">
        <w:rPr>
          <w:noProof/>
        </w:rPr>
        <w:fldChar w:fldCharType="end"/>
      </w:r>
    </w:p>
    <w:p w:rsidR="0062089D" w:rsidRDefault="0062089D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Elenco documenti – Workflow di processo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_Toc400110677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C108A" w:rsidRDefault="00DC108A" w:rsidP="00DC108A">
      <w:r>
        <w:fldChar w:fldCharType="end"/>
      </w:r>
    </w:p>
    <w:p w:rsidR="00DC108A" w:rsidRDefault="00DC108A" w:rsidP="00DC108A">
      <w:pPr>
        <w:sectPr w:rsidR="00DC108A">
          <w:footerReference w:type="even" r:id="rId17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  <w:bookmarkStart w:id="6" w:name="_GoBack"/>
      <w:bookmarkEnd w:id="6"/>
    </w:p>
    <w:p w:rsidR="00DC108A" w:rsidRDefault="00DC108A" w:rsidP="00DC108A">
      <w:pPr>
        <w:pStyle w:val="Titolo1"/>
      </w:pPr>
      <w:bookmarkStart w:id="7" w:name="_Toc524239579"/>
      <w:bookmarkStart w:id="8" w:name="_Toc30299783"/>
      <w:bookmarkStart w:id="9" w:name="_Toc400110676"/>
      <w:r>
        <w:lastRenderedPageBreak/>
        <w:t>INTRODUZIONE</w:t>
      </w:r>
      <w:bookmarkEnd w:id="7"/>
      <w:bookmarkEnd w:id="8"/>
      <w:bookmarkEnd w:id="9"/>
    </w:p>
    <w:p w:rsidR="00B9349F" w:rsidRDefault="0013108A" w:rsidP="00FA1D11">
      <w:r>
        <w:t>Q</w:t>
      </w:r>
      <w:r w:rsidR="00FA1D11">
        <w:t xml:space="preserve">uesto documento </w:t>
      </w:r>
      <w:r w:rsidR="00B9349F">
        <w:t xml:space="preserve">elenca la documentazione all’interno della quale è </w:t>
      </w:r>
      <w:r w:rsidR="00CD3119">
        <w:t>descri</w:t>
      </w:r>
      <w:r w:rsidR="00B9349F">
        <w:t>tto</w:t>
      </w:r>
      <w:r w:rsidR="00CD3119">
        <w:t xml:space="preserve"> </w:t>
      </w:r>
      <w:r w:rsidR="00B9349F" w:rsidRPr="00B9349F">
        <w:t xml:space="preserve">il </w:t>
      </w:r>
      <w:proofErr w:type="spellStart"/>
      <w:r w:rsidR="00B9349F" w:rsidRPr="00B9349F">
        <w:t>workflow</w:t>
      </w:r>
      <w:proofErr w:type="spellEnd"/>
      <w:r w:rsidR="00B9349F" w:rsidRPr="00B9349F">
        <w:t xml:space="preserve"> di processo in termini attività e condizioni, di validazioni dei dati di input, controlli sui valori elaborati, stati degli oggetti di business, transizioni valide e invalide, modifica dei valori memorizzati in banca dati</w:t>
      </w:r>
      <w:r w:rsidR="00B9349F">
        <w:t>.</w:t>
      </w:r>
    </w:p>
    <w:p w:rsidR="00FA1D11" w:rsidRDefault="00FA1D11" w:rsidP="00FA1D11"/>
    <w:p w:rsidR="000F35E4" w:rsidRDefault="000F35E4" w:rsidP="000F35E4">
      <w:pPr>
        <w:pStyle w:val="Titolo2"/>
        <w:numPr>
          <w:ilvl w:val="0"/>
          <w:numId w:val="0"/>
        </w:numPr>
        <w:rPr>
          <w:b w:val="0"/>
          <w:color w:val="auto"/>
          <w:sz w:val="22"/>
        </w:rPr>
      </w:pPr>
      <w:bookmarkStart w:id="10" w:name="_Toc470601734"/>
      <w:bookmarkStart w:id="11" w:name="_Toc64971072"/>
    </w:p>
    <w:p w:rsidR="00B9349F" w:rsidRDefault="00B9349F" w:rsidP="000F35E4">
      <w:pPr>
        <w:sectPr w:rsidR="00B9349F" w:rsidSect="00B9349F">
          <w:headerReference w:type="even" r:id="rId18"/>
          <w:headerReference w:type="default" r:id="rId19"/>
          <w:footerReference w:type="even" r:id="rId20"/>
          <w:footerReference w:type="default" r:id="rId21"/>
          <w:pgSz w:w="11907" w:h="16840"/>
          <w:pgMar w:top="1418" w:right="851" w:bottom="1701" w:left="851" w:header="720" w:footer="284" w:gutter="567"/>
          <w:paperSrc w:first="1" w:other="1"/>
          <w:cols w:space="720"/>
          <w:docGrid w:linePitch="299"/>
        </w:sectPr>
      </w:pPr>
    </w:p>
    <w:p w:rsidR="002B541E" w:rsidRDefault="00B51182" w:rsidP="002B541E">
      <w:pPr>
        <w:pStyle w:val="Titolo1"/>
        <w:spacing w:after="360"/>
        <w:ind w:left="432" w:hanging="432"/>
      </w:pPr>
      <w:bookmarkStart w:id="12" w:name="_Toc400110677"/>
      <w:bookmarkEnd w:id="3"/>
      <w:bookmarkEnd w:id="4"/>
      <w:bookmarkEnd w:id="5"/>
      <w:bookmarkEnd w:id="10"/>
      <w:bookmarkEnd w:id="11"/>
      <w:r>
        <w:lastRenderedPageBreak/>
        <w:t xml:space="preserve">Elenco documenti – </w:t>
      </w:r>
      <w:proofErr w:type="spellStart"/>
      <w:r>
        <w:t>Workflow</w:t>
      </w:r>
      <w:proofErr w:type="spellEnd"/>
      <w:r>
        <w:t xml:space="preserve"> di processo</w:t>
      </w:r>
      <w:bookmarkEnd w:id="12"/>
    </w:p>
    <w:p w:rsidR="002B541E" w:rsidRDefault="002B541E" w:rsidP="002B541E">
      <w:r>
        <w:t xml:space="preserve">Precisiamo che, il </w:t>
      </w:r>
      <w:proofErr w:type="spellStart"/>
      <w:r w:rsidR="00B51182">
        <w:t>workflow</w:t>
      </w:r>
      <w:proofErr w:type="spellEnd"/>
      <w:r w:rsidR="00B51182">
        <w:t xml:space="preserve"> di processo </w:t>
      </w:r>
      <w:r>
        <w:t xml:space="preserve">è descritto nei Manuali Utente pubblicati da CAD IT </w:t>
      </w:r>
      <w:proofErr w:type="spellStart"/>
      <w:r>
        <w:t>SpA</w:t>
      </w:r>
      <w:proofErr w:type="spellEnd"/>
      <w:r>
        <w:t xml:space="preserve"> elencati analiticamente nel capitolo in questione sia per Ruoli ante riforma che per post riforma, in una specifica tabella che contiene le informazioni:</w:t>
      </w:r>
    </w:p>
    <w:p w:rsidR="002B541E" w:rsidRDefault="002B541E" w:rsidP="002B541E">
      <w:pPr>
        <w:numPr>
          <w:ilvl w:val="0"/>
          <w:numId w:val="14"/>
        </w:numPr>
        <w:jc w:val="left"/>
      </w:pPr>
      <w:r>
        <w:t>Area procedurale di riferimento (ordinamento alfabetico decrescente)</w:t>
      </w:r>
    </w:p>
    <w:p w:rsidR="002B541E" w:rsidRDefault="002B541E" w:rsidP="002B541E">
      <w:pPr>
        <w:numPr>
          <w:ilvl w:val="0"/>
          <w:numId w:val="14"/>
        </w:numPr>
        <w:jc w:val="left"/>
      </w:pPr>
      <w:r>
        <w:t>Descrizione sintetica Procedura</w:t>
      </w:r>
    </w:p>
    <w:p w:rsidR="002B541E" w:rsidRDefault="002B541E" w:rsidP="002B541E">
      <w:pPr>
        <w:numPr>
          <w:ilvl w:val="0"/>
          <w:numId w:val="14"/>
        </w:numPr>
        <w:jc w:val="left"/>
      </w:pPr>
      <w:r>
        <w:t>Descrizione delle funzionalità generali della procedura contenute nel manuale</w:t>
      </w:r>
    </w:p>
    <w:p w:rsidR="002B541E" w:rsidRDefault="002B541E" w:rsidP="002B541E">
      <w:pPr>
        <w:numPr>
          <w:ilvl w:val="0"/>
          <w:numId w:val="14"/>
        </w:numPr>
        <w:jc w:val="left"/>
      </w:pPr>
      <w:r>
        <w:t>Nome del file relativo al manuale utente</w:t>
      </w:r>
    </w:p>
    <w:p w:rsidR="002B541E" w:rsidRDefault="002B541E" w:rsidP="002B541E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2601"/>
        <w:gridCol w:w="4336"/>
        <w:gridCol w:w="5452"/>
      </w:tblGrid>
      <w:tr w:rsidR="002B541E" w:rsidRPr="003137E0" w:rsidTr="009D4BC9">
        <w:trPr>
          <w:cantSplit/>
          <w:trHeight w:val="495"/>
          <w:tblHeader/>
        </w:trPr>
        <w:tc>
          <w:tcPr>
            <w:tcW w:w="1411" w:type="dxa"/>
            <w:shd w:val="clear" w:color="auto" w:fill="B8CCE4"/>
            <w:vAlign w:val="center"/>
            <w:hideMark/>
          </w:tcPr>
          <w:p w:rsidR="002B541E" w:rsidRPr="003137E0" w:rsidRDefault="002B541E" w:rsidP="009D4BC9">
            <w:pPr>
              <w:jc w:val="center"/>
              <w:rPr>
                <w:b/>
                <w:i/>
              </w:rPr>
            </w:pPr>
            <w:r w:rsidRPr="003137E0">
              <w:rPr>
                <w:b/>
                <w:i/>
              </w:rPr>
              <w:t>Area</w:t>
            </w:r>
          </w:p>
        </w:tc>
        <w:tc>
          <w:tcPr>
            <w:tcW w:w="3980" w:type="dxa"/>
            <w:shd w:val="clear" w:color="auto" w:fill="B8CCE4"/>
            <w:vAlign w:val="center"/>
            <w:hideMark/>
          </w:tcPr>
          <w:p w:rsidR="002B541E" w:rsidRPr="003137E0" w:rsidRDefault="002B541E" w:rsidP="009D4BC9">
            <w:pPr>
              <w:jc w:val="center"/>
              <w:rPr>
                <w:b/>
                <w:i/>
              </w:rPr>
            </w:pPr>
            <w:r w:rsidRPr="003137E0">
              <w:rPr>
                <w:b/>
                <w:i/>
              </w:rPr>
              <w:t>Procedura</w:t>
            </w:r>
          </w:p>
        </w:tc>
        <w:tc>
          <w:tcPr>
            <w:tcW w:w="7400" w:type="dxa"/>
            <w:shd w:val="clear" w:color="auto" w:fill="B8CCE4"/>
            <w:vAlign w:val="center"/>
            <w:hideMark/>
          </w:tcPr>
          <w:p w:rsidR="002B541E" w:rsidRPr="003137E0" w:rsidRDefault="002B541E" w:rsidP="009D4BC9">
            <w:pPr>
              <w:jc w:val="center"/>
              <w:rPr>
                <w:b/>
                <w:i/>
              </w:rPr>
            </w:pPr>
            <w:r w:rsidRPr="003137E0">
              <w:rPr>
                <w:b/>
                <w:i/>
              </w:rPr>
              <w:t>Descrizione</w:t>
            </w:r>
          </w:p>
        </w:tc>
        <w:tc>
          <w:tcPr>
            <w:tcW w:w="5309" w:type="dxa"/>
            <w:shd w:val="clear" w:color="auto" w:fill="B8CCE4"/>
            <w:vAlign w:val="center"/>
            <w:hideMark/>
          </w:tcPr>
          <w:p w:rsidR="002B541E" w:rsidRPr="003137E0" w:rsidRDefault="002B541E" w:rsidP="009D4BC9">
            <w:pPr>
              <w:jc w:val="center"/>
              <w:rPr>
                <w:b/>
                <w:i/>
              </w:rPr>
            </w:pPr>
            <w:r w:rsidRPr="003137E0">
              <w:rPr>
                <w:b/>
                <w:i/>
              </w:rPr>
              <w:t>Id. Manuale</w:t>
            </w:r>
          </w:p>
        </w:tc>
      </w:tr>
      <w:tr w:rsidR="002B541E" w:rsidRPr="00570696" w:rsidTr="009D4BC9">
        <w:trPr>
          <w:cantSplit/>
          <w:trHeight w:val="615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Anagrafica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Anagrafica Contribuenti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Anagrafe generale - Funzionalità della procedura di gestione anagrafica contribuenti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Anagrafica.doc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Anagrafica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Certificazione CCIAA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Certificazione dati anagrafici Persone Giuridiche da CCIAA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Certificazione Anagrafica da CCIAA.doc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Anagrafica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Scambio Informazioni Anagrafiche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di gestione dello scambio Dati Anagrafici standard fra </w:t>
            </w:r>
            <w:proofErr w:type="spellStart"/>
            <w:r w:rsidRPr="00570696">
              <w:t>AdR</w:t>
            </w:r>
            <w:proofErr w:type="spellEnd"/>
            <w:r w:rsidRPr="00570696">
              <w:t xml:space="preserve"> ed Equitalia (ex-EQS)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Scambio_informazioni_anagrafiche.doc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Anagrafica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Stradario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Normalizzazione Archivio Anagrafico con definizione zone territoriali e strade comunali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Stradario.doc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Processi schedulati - </w:t>
            </w:r>
            <w:proofErr w:type="spellStart"/>
            <w:r w:rsidRPr="00570696">
              <w:t>Multischeduling</w:t>
            </w:r>
            <w:proofErr w:type="spellEnd"/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delle procedure batch di acquisizione Fascicoli Area Terzi e Immobiliare - Parametri di configurazione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Processi Schedulati-Multitasking.doc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Immobiliare - Ipoteca Gestore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Modulo di interfaccia con la Procedura GESTORE di Equitalia per le Ipoteche Immobiliari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Immobiliare - Ipoteca Gestore.doc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Mappa Flussi interscambio Gestore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Documento riepilogativo con la mappa dei flussi di interscambio con la Procedura GESTORE di Equitalia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Immobiliare - Ipoteca Gestore Flussi Interscambio.doc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Elementi generali </w:t>
            </w:r>
            <w:proofErr w:type="spellStart"/>
            <w:r w:rsidRPr="00570696">
              <w:t>Co@ttivo</w:t>
            </w:r>
            <w:proofErr w:type="spellEnd"/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Impostazioni generali e gestione Tabelle di base per la configurazione del sistema </w:t>
            </w:r>
            <w:proofErr w:type="spellStart"/>
            <w:r w:rsidRPr="00570696">
              <w:t>Co@ttivo</w:t>
            </w:r>
            <w:proofErr w:type="spellEnd"/>
            <w:r w:rsidRPr="00570696">
              <w:t xml:space="preserve"> (Ancillari)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Elementi Generali.doc</w:t>
            </w:r>
          </w:p>
        </w:tc>
      </w:tr>
      <w:tr w:rsidR="002B541E" w:rsidRPr="00570696" w:rsidTr="009D4BC9">
        <w:trPr>
          <w:cantSplit/>
          <w:trHeight w:val="615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Processi schedulati - Area presso Terzi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delle schedulazioni per elaborazioni massive Procedura presso Terzi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Presso Terzi - Processi Schedulati.doc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Pignoramenti 28-Ter - Area presso Terzi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della procedura di pignoramento presso Terzi ai sensi del 28-Ter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Presso Terzi - Pignoramenti 28Ter.doc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Immobiliare - Recupero CPI off-line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il recupero delle CPI emesse off-line (procedura transitoria)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immobiliare - Recupero attività transitoria CPI off-line.doc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Processi schedulati - Area Immobiliare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delle schedulazioni per elaborazioni massive Procedura Immobiliare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Immobiliare - Processi schedulati.doc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Processi schedulati - </w:t>
            </w:r>
            <w:proofErr w:type="spellStart"/>
            <w:r w:rsidRPr="00570696">
              <w:t>Co@ttivo</w:t>
            </w:r>
            <w:proofErr w:type="spellEnd"/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generale schedulazione processi ancillari - Emissione massiva documenti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Processi Schedulati.doc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Interscambio Flussi SET - Area Terzi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Gestione flussi di interscambio con Sistema SET per </w:t>
            </w:r>
            <w:proofErr w:type="spellStart"/>
            <w:r w:rsidRPr="00570696">
              <w:t>Piognoramento</w:t>
            </w:r>
            <w:proofErr w:type="spellEnd"/>
            <w:r w:rsidRPr="00570696">
              <w:t xml:space="preserve"> Terzi e Pignoramento P.A. (48-Bis)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Interscambio Flussi SET.doc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Ammortamento - Area Terzi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Funzionalità di controllo dei Pagamenti da parte dei Terzi pignorati per l'ammortamento del debito iniziale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Presso Terzi - Gestione Ammortamento.doc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Immobiliare - Elementi Tipici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Tabelle generali e gestione Schede archivi principali (</w:t>
            </w:r>
            <w:proofErr w:type="spellStart"/>
            <w:r w:rsidRPr="00570696">
              <w:t>Immobili,etc</w:t>
            </w:r>
            <w:proofErr w:type="spellEnd"/>
            <w:r w:rsidRPr="00570696">
              <w:t>..) - Concetti di base procedura Immobiliare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Immobiliare - Elementi Tipici.doc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Pignoramento PA 48-bis Area Terzi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Configurazione Iter operativi per la gestione della Procedura di Pignoramento presso Terzi della P.A. (48-Bis)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Presso Terzi - Pignoramenti PA.doc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Area presso Terzi - Elementi Tipici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Funzionalità generali e dettaglio gestione Archivi principali della Procedura di Pignoramento presso Terzi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Presso Terzi - Elementi Tipici.doc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Area presso Terzi - Operatività Massiva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Flussi per acquisizione batch dati Procedura presso terzi ed emissione massiva documenti e verbali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Presso Terzi - Operatività Massiva.doc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Fermo Amministrativo - Tracciati Record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Specifiche dei tracciati record di interfaccia per la gestione delle Procedure di fermo Amministrativo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Fermo Amministrativo - Tracciati.doc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Area Concorsuale - Elementi Tipici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Tabelle generali e gestione Ripartizione crediti (privilegio - chirografo) per le Procedure Concorsuali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Concorsuale - Elementi Tipici.doc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Immobiliare - Intervento e Surroga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Procedure di Intervento e di Surroga nell'ambito dell'area procedurale Immobiliare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Immobiliare - Intervento_Surroga.doc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Immobiliare - Vendita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Procedura esecutiva di Vendita nell'ambito dell'area procedurale Immobiliare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Immobiliare - Vendita.doc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Immobiliare - Operatività Massiva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Flussi interscambio per alimentazione automatica Fascicoli Immobiliare - Stampa massiva documenti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Immobiliare - Operatività Massiva.doc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Fermo Amministrativo - Processi schedulati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delle schedulazioni per elaborazioni massive richiesta di Iscrizione Fermi verso ACI-PRA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Fermo Amministrativo - Processi Schedulati.doc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Fermo Amministrativo - elementi tipici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Elementi generali dei processi di gestione dei fermi Amministrativi e delle pratiche presentate ad ACI-PRA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Area Fermo Amministrativo - Elementi Tipici.doc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Postalizzazione Documenti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Schemi della codifica dei Documenti procedura </w:t>
            </w:r>
            <w:proofErr w:type="spellStart"/>
            <w:r w:rsidRPr="00570696">
              <w:t>Co@ttivo</w:t>
            </w:r>
            <w:proofErr w:type="spellEnd"/>
            <w:r w:rsidRPr="00570696">
              <w:t xml:space="preserve"> per la gestione della Postalizzazione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Postalizzazione.doc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Iter Procedura e Iter Operativo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proofErr w:type="spellStart"/>
            <w:r w:rsidRPr="00570696">
              <w:t>Documenmtazione</w:t>
            </w:r>
            <w:proofErr w:type="spellEnd"/>
            <w:r w:rsidRPr="00570696">
              <w:t xml:space="preserve"> delle Tabelle per la creazione degli Iter Procedurali e degli Iter Operativi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Atti - Stampe - Iter.doc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proofErr w:type="spellStart"/>
            <w:r w:rsidRPr="00570696">
              <w:t>Files</w:t>
            </w:r>
            <w:proofErr w:type="spellEnd"/>
            <w:r w:rsidRPr="00570696">
              <w:t xml:space="preserve"> di configurazione procedura </w:t>
            </w:r>
            <w:proofErr w:type="spellStart"/>
            <w:r w:rsidRPr="00570696">
              <w:t>Co@ttivo</w:t>
            </w:r>
            <w:proofErr w:type="spellEnd"/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Composizione dei </w:t>
            </w:r>
            <w:proofErr w:type="spellStart"/>
            <w:r w:rsidRPr="00570696">
              <w:t>files</w:t>
            </w:r>
            <w:proofErr w:type="spellEnd"/>
            <w:r w:rsidRPr="00570696">
              <w:t xml:space="preserve"> di configurazione della Procedura </w:t>
            </w:r>
            <w:proofErr w:type="spellStart"/>
            <w:r w:rsidRPr="00570696">
              <w:t>Co@ttivo</w:t>
            </w:r>
            <w:proofErr w:type="spellEnd"/>
            <w:r w:rsidRPr="00570696">
              <w:t xml:space="preserve"> (formato XML)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file di configurazione Istituto.xml.doc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Censimento Tabelle in attivazione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Documentazione Tabelle generali della Procedura </w:t>
            </w:r>
            <w:proofErr w:type="spellStart"/>
            <w:r w:rsidRPr="00570696">
              <w:t>Co@ttivo</w:t>
            </w:r>
            <w:proofErr w:type="spellEnd"/>
            <w:r w:rsidRPr="00570696">
              <w:t xml:space="preserve"> per la sua attivazione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Censimento Tabelle in attivazione.doc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Attivazione nuovo Ambito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Documentazione per l'attivazione di un nuovo Ambito per la gestione della Procedura </w:t>
            </w:r>
            <w:proofErr w:type="spellStart"/>
            <w:r w:rsidRPr="00570696">
              <w:t>Co@ttivo</w:t>
            </w:r>
            <w:proofErr w:type="spellEnd"/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CO@TTIVO - Attivazione Nuovo Ambito.doc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Ancillari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Immobiliare - Migrazione Fascicoli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transitoria di gestione della migrazione dei Fascicoli dalla procedura </w:t>
            </w:r>
            <w:proofErr w:type="spellStart"/>
            <w:r w:rsidRPr="00570696">
              <w:t>Immo@web</w:t>
            </w:r>
            <w:proofErr w:type="spellEnd"/>
            <w:r w:rsidRPr="00570696">
              <w:t xml:space="preserve"> a </w:t>
            </w:r>
            <w:proofErr w:type="spellStart"/>
            <w:r w:rsidRPr="00570696">
              <w:t>Co@ttivo</w:t>
            </w:r>
            <w:proofErr w:type="spellEnd"/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CO@TTIVO - Area Immobiliare - Migrazione Fascicoli </w:t>
            </w:r>
            <w:proofErr w:type="spellStart"/>
            <w:r w:rsidRPr="00570696">
              <w:t>Immoweb</w:t>
            </w:r>
            <w:proofErr w:type="spellEnd"/>
            <w:r w:rsidRPr="00570696">
              <w:t xml:space="preserve"> Co@ttivo.doc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Antiriciclaggio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Interfaccia Procedura RM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Moduli di interfaccia movimenti giornalieri con la Procedura RM di gestione Antiriciclaggio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InterfacciaRM.doc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>Contabilità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Contabilità Generale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Documentazione con le funzionalità generali della procedura di Contabilità Generale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Contabilità Generale.doc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Contabilità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Tabella Codici Importo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Tabella guida dei Codici Importo contabile per alimentazione interfaccia contabile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Contabilità_CodiciImporto.doc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Contabilità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Partite Contabili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Censimento e gestione (scarico / chiusura) delle Partite Contabili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Partite_contabili.doc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Contabilità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Partite Viaggianti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Censimento delle transazioni - Apertura, interrogazione e presa in carico Partite Viaggianti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Partite_viaggianti.doc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Contabilità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Quadro di Cassa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della circolarità, Gestione casse, movimenti e chiusura quadro di cassa per operatore / sportello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QuadroCassa.doc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ICI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Incassi diretti ICI - IMU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delle Riscossioni e dei riversamenti ai Comuni dell'ICI e dell'IMU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ici.doc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ICI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Specifiche per Data Entry ICI - IMU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Specifiche Tecniche - Tracciato Record procedura Data-Entry per registrazione versamenti ICI - IMU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TRK data entry ICI ISCOP.doc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Procedure Rilevanti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di alimentazione dei dati contribuenti morosi con il package </w:t>
            </w:r>
            <w:proofErr w:type="spellStart"/>
            <w:r w:rsidRPr="00570696">
              <w:t>Equick</w:t>
            </w:r>
            <w:proofErr w:type="spellEnd"/>
            <w:r w:rsidRPr="00570696">
              <w:t xml:space="preserve"> di Equitalia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Equick.doc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Verifiche AVCP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Tabelle propedeutiche alla verifica del debito per le segnalazioni e verifiche di AVCP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Verifiche AVCP.doc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Rendicontazione Enti Ruoli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Transazioni di gestione Tabelle decodifica e flussi - Elaborazioni batch per creazione Flussi da trasmettere a </w:t>
            </w:r>
            <w:proofErr w:type="spellStart"/>
            <w:r w:rsidRPr="00570696">
              <w:t>Rendiweb</w:t>
            </w:r>
            <w:proofErr w:type="spellEnd"/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RENDIWEB_RUOLI.doc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Rendicontazione Enti ICI-IMU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Elaborazioni batch per la predisposizione flussi da trasmettere a </w:t>
            </w:r>
            <w:proofErr w:type="spellStart"/>
            <w:r w:rsidRPr="00570696">
              <w:t>Rendiweb</w:t>
            </w:r>
            <w:proofErr w:type="spellEnd"/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RENDIWEB - ICI.doc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Adempimenti Garante della Privacy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l'elaborazione e cancellazione Contribuenti in riferimento agli adempimenti richiesti dal Garante della Privacy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Adempimenti Garante della Privacy.doc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Anticipazioni - Gestione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completa delle Anticipazioni - Funzionalità TP-On Line e Funzionalità Batch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Anticipazioni.doc</w:t>
            </w:r>
          </w:p>
        </w:tc>
      </w:tr>
      <w:tr w:rsidR="002B541E" w:rsidRPr="00570696" w:rsidTr="009D4BC9">
        <w:trPr>
          <w:cantSplit/>
          <w:trHeight w:val="9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Cartellazione - Gestione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delle fasi di Cartellazione con le transazioni di interrogazione dati ed elaborazioni batch per acquisizione e monitoraggio flussi Cartelle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Cartellazione.doc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Compensazioni 28-Ter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compensazione volontaria Ruoli con crediti di imposta (Art. 28-ter D.P.R. 602/1973)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Compensazione 28-TER.doc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Compensazioni Art. 31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dell'autocompensazione in presenza di debiti su Ruoli definitivi ai sensi dell'Art. 31 del D.L. 78/2010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Compensazione art 31 DL 78-2010.doc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Condono ex-Art. 12 Legge 289/2002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completa di tutte le fasi di definizione e monitoraggio del Condono emesso ai sensi dell'Art. 12 della Legge 289/2002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Condono_art12.doc</w:t>
            </w:r>
          </w:p>
        </w:tc>
      </w:tr>
      <w:tr w:rsidR="002B541E" w:rsidRPr="00570696" w:rsidTr="009D4BC9">
        <w:trPr>
          <w:cantSplit/>
          <w:trHeight w:val="9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Condono Sanzioni Amministrative </w:t>
            </w:r>
            <w:proofErr w:type="spellStart"/>
            <w:r w:rsidRPr="00570696">
              <w:t>CdS</w:t>
            </w:r>
            <w:proofErr w:type="spellEnd"/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della Definizione agevolata di Sanzioni Amministrative Codice della Strada (ex-Art. 15, commi 8-quinquiedecies e ss., D.L. 78/2009)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Condono_CdS_2009.doc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Condono Enti Territoriali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 Pagamento agevolato dei carichi iscritti a ruolo da Enti territoriali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Condono_EntiTerritoriali.doc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Accesso ad A.T. - ARCO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Accesso alle informazioni disponibili presso il sistema informativo (Anagrafe Tributaria) del Ministero delle Finanze (Sistema ARCO)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Contenzioso_AccessoAT.doc</w:t>
            </w:r>
          </w:p>
        </w:tc>
      </w:tr>
      <w:tr w:rsidR="002B541E" w:rsidRPr="00570696" w:rsidTr="009D4BC9">
        <w:trPr>
          <w:cantSplit/>
          <w:trHeight w:val="66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Comunicazioni di Inesigibilità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emissione e gestione delle Comunicazioni di Inesigibilità da eventi (puntuali) o da elaborazioni massive (batch)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Contenzioso_ComunicazioniInesigibilita.doc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Coobbligati in via esecutiva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dei contribuenti Coobbligati in via esecutiva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Contenzioso_Coobbligati.doc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Fermo Telematico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dell'accesso telematico al Pubblico Registro Automobilistico e per l'iscrizione telematica del Fermo Amministrativo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Contenzioso_FermoTelematico.doc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Fogli di Lavoro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 conferimento ad uffici / operatori di attività delle procedure cautelari e/o esecutive tramite i Fogli di Lavoro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Contenzioso_FogliDiLavoro.doc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Ipoteche tramite Gestore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interfaccia al sistema GESTORE per la emissione e gestione delle Ipoteche Immobiliari con l'internalizzazione del servizio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Contenzioso_Ipoteche_Gestore.doc</w:t>
            </w:r>
          </w:p>
        </w:tc>
      </w:tr>
      <w:tr w:rsidR="002B541E" w:rsidRPr="00570696" w:rsidTr="009D4BC9">
        <w:trPr>
          <w:cantSplit/>
          <w:trHeight w:val="9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Procedure esecutive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delle attività cautelari ed esecutive - descrizione delle funzionalità di base e dell'impianto tabellare per la parametrizzazione  e la definizione dell'Iter Procedurale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Contenzioso_ProcedureEsecutive.doc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Profilo procedurale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 Profilo Procedurale dei Contribuenti attivato ed aggiornato in fase di accesso ad A.T. ed in occasione delle attività esecutive svolte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Contenzioso_ProfiloProcedurale.doc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Rilevazione Morosità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l'aggiornamento e la gestione della morosità Contribuenti con la valorizzazione dell'archivio "Quadro Morosi"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Contenzioso_RilevazioneMorosità.doc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Solleciti di Pagamento - Diffide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l'emissione e la gestione dei Solleciti di Pagamento, delle Diffide, degli Avvisi di Intimazione e degli Avvisi di Mora per cartelle Ante Riforma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Contenzioso_SollecitiAvvisi.doc</w:t>
            </w:r>
          </w:p>
        </w:tc>
      </w:tr>
      <w:tr w:rsidR="002B541E" w:rsidRPr="00570696" w:rsidTr="009D4BC9">
        <w:trPr>
          <w:cantSplit/>
          <w:trHeight w:val="63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Contenzioso - </w:t>
            </w:r>
            <w:proofErr w:type="spellStart"/>
            <w:r w:rsidRPr="00570696">
              <w:t>Terzo@web</w:t>
            </w:r>
            <w:proofErr w:type="spellEnd"/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di interfaccia al package ancillare </w:t>
            </w:r>
            <w:proofErr w:type="spellStart"/>
            <w:r w:rsidRPr="00570696">
              <w:t>Terzo@web</w:t>
            </w:r>
            <w:proofErr w:type="spellEnd"/>
            <w:r w:rsidRPr="00570696">
              <w:t xml:space="preserve"> per la gestione delle attività esecutive presso Terzi</w:t>
            </w:r>
          </w:p>
        </w:tc>
        <w:tc>
          <w:tcPr>
            <w:tcW w:w="5309" w:type="dxa"/>
            <w:shd w:val="clear" w:color="auto" w:fill="auto"/>
            <w:noWrap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Contenzioso_Terzo@Web.doc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Contenzioso - Visure Immobiliari </w:t>
            </w:r>
            <w:proofErr w:type="spellStart"/>
            <w:r w:rsidRPr="00570696">
              <w:t>Kastoffice</w:t>
            </w:r>
            <w:proofErr w:type="spellEnd"/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delle Visure Immobiliari tramite il Provider KASTOFFICE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Contenzioso_VisuraImmobiliare_KastOffice.doc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 - Visure Immobiliari Ribes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delle Visure Immobiliari tramite il Provider RIBES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Contenzioso_VisuraImmobiliare_Ribes.doc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Contenzioso - Visure Immobiliari </w:t>
            </w:r>
            <w:proofErr w:type="spellStart"/>
            <w:r w:rsidRPr="00570696">
              <w:t>Sistemia</w:t>
            </w:r>
            <w:proofErr w:type="spellEnd"/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delle Visure Immobiliari tramite il Provider SISTEMIA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Contenzioso_VisuraImmobiliare_Sistemia.doc</w:t>
            </w:r>
          </w:p>
        </w:tc>
      </w:tr>
      <w:tr w:rsidR="002B541E" w:rsidRPr="00570696" w:rsidTr="009D4BC9">
        <w:trPr>
          <w:cantSplit/>
          <w:trHeight w:val="9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Conto di Gestione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l'emissione del Conto di Gestione degli Agente Contabili – Modello 21 per Province, Comuni, Comunità Montane, Unioni di Comuni e Città Metropolitane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Conto di gestione.doc</w:t>
            </w:r>
          </w:p>
        </w:tc>
      </w:tr>
      <w:tr w:rsidR="002B541E" w:rsidRPr="00570696" w:rsidTr="009D4BC9">
        <w:trPr>
          <w:cantSplit/>
          <w:trHeight w:val="645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Conto Giudiziale Ruoli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l'emissione e la gestione del Conto Giudiziale Ruoli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Conto_giudiziale_ruoli.doc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Controllo Decadenza ex-Art. 25 DPR 602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il controllo dei Termini di Decadenza della riscossione a mezzo ruolo ai sensi dell'Art. 25 del DPR 602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Controllo Decadenza art 25 DPR 602.doc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Controllo di Processo acquisizione TP Provvedimenti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 Data Entry Provvedimenti e la relativa acquisizione sugli archivi standard del Sistema SET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Controllo di Processo.doc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Definizione Agevolata pagamento carichi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delle Riscossioni tramite Definizione Agevolata ai sensi della Legge 147/2013 commi 818-624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Definizione agevolata carichi L. 147-2013.doc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Deleghe di Notifica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 conferimento ed espletamento delle Deleghe di Notifica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DelegheNotifica.doc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Esiti e Stato della Riscossione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predisposizione dei flussi di Esito su Avvisi Bonari (GIA) e dei flussi dello Stato della Riscossione per la rendicontazione agli Enti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Esiti.doc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Estratto di Ruolo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l'emissione parametrica degli Estratti di Ruolo con la situazione debitoria dei Contribuenti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Estratto del Debito.doc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Flussi RGS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predisposizione dei Flussi da trasmettere alla RGS per la rendicontazione delle entrate dello Stato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Flussi RGS.doc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Spese da richiedere solo agli Enti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richiesta e la gestione delle Spese di procedure Esecutive da richiedere soltanto agli Enti Impositori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GestionedelleSpesedaRichiedereSoloallEnteImpositore.doc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Notifica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per la gestione della Notifica delle Cartelle ed altre </w:t>
            </w:r>
            <w:proofErr w:type="spellStart"/>
            <w:r w:rsidRPr="00570696">
              <w:t>ttipologie</w:t>
            </w:r>
            <w:proofErr w:type="spellEnd"/>
            <w:r w:rsidRPr="00570696">
              <w:t xml:space="preserve"> di documento (transazioni TP e modalità batch di notifica R_AR)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Notifica.doc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Prescrizione e Decadenza Termini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le rilevazioni delle condizioni di prescrizione e decadenza su cartelle non notificate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Prescrizione e Decadenza.doc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Protocollazione Flussi Telematici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per la protocollazione, la gestione ed il monitoraggio dei Flussi Telematici </w:t>
            </w:r>
            <w:proofErr w:type="spellStart"/>
            <w:r w:rsidRPr="00570696">
              <w:t>interscambiati</w:t>
            </w:r>
            <w:proofErr w:type="spellEnd"/>
            <w:r w:rsidRPr="00570696">
              <w:t xml:space="preserve"> fra </w:t>
            </w:r>
            <w:proofErr w:type="spellStart"/>
            <w:r w:rsidRPr="00570696">
              <w:t>AdR</w:t>
            </w:r>
            <w:proofErr w:type="spellEnd"/>
            <w:r w:rsidRPr="00570696">
              <w:t xml:space="preserve"> ed Equitalia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Protocollazione.doc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Provvedimenti Ruoli - Parte 1°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acquisizione e gestione Provvedimenti di Sgravio, Sospensione e Revoca, Maggior Rateazione e Revoca, Annullamento coobbligati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Provvedimenti_I.doc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Provvedimenti Ruoli - Parte 2°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acquisizione e gestione Provvedimenti - Elaborazioni batch e report (tabulati) prodotti per il monitoraggio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Provvedimenti_II.doc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Rateazioni emesse dagli </w:t>
            </w:r>
            <w:proofErr w:type="spellStart"/>
            <w:r w:rsidRPr="00570696">
              <w:t>AdR</w:t>
            </w:r>
            <w:proofErr w:type="spellEnd"/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delle Rateazioni concesse dagli Agenti della Riscossione (art. 19 D.P.R. 602/1973)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Rateazioni AdR.doc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Caricamento massivo Procedure Esecutive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(da Data Entry) delle Procedura esecutive con modalità massiva (elaborazioni batch)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Recupero_Procedure_Esecutive.doc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Report importi Sgravi non rimborsati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Produzione report somme non rimborsate in seguito al trattamento di Sgravi per indebito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ReportSommeDaSgravioNonRimborsate.doc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Rettifiche Versamenti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delle rettifiche automatiche dei versamenti agli Enti beneficiari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Rettifiche_automatiche.doc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Rilevazione dati statistici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produzione report statistici per il controllo della riscossione di importi rilevanti - Compilazione dati schede 31-ADR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Rilevazione Dati - Schede EQ.doc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Riscossione - Domiciliazioni Bancarie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delle Domiciliazioni Bancarie per la riscossione a mezzo ruolo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Riscossione - Domiciliazione Bancaria.doc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Riscossione  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delle varie modalità di riscossione (TP Sportello, batch da flussi RAV, etc..)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Riscossione.doc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Ristampa Cartelle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dipartimentale per la Ristampa Cartelle, Avvisi GIA e Avvisi di Intimazione 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Ristampa_CartelleAvvisi_PC.doc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Riversamento Eccedenze di Pagamento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il controllo e la gestione del Riversamento delle Eccedenze di Pagamento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Riversamento eccedenze di pagamento.doc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Rottamazione Ruoli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'Rottamazione' ruoli (ai sensi della Legge 228/2012 art.1, commi 527 e 528)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Rottamazione.doc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 vistati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l'acquisizione e la gestione dei Ruoli telematici vistati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RuoliVistati.doc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Sospensione Titoli di Pagamento P.A.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dei Pignoramenti presso terzi ex-Art. 48-bis DPR 602/1973, con la Sospensione dei Titoli di Pagamento Pubblica Amministrazione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Sospensione Titoli di Pagamento PA.doc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Tabelle Ruoli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Tabelle generali per decodifica Ruoli Vistati (Tipo Modello, Tipo Imposta, Periodo versamento, Stato Ricorso, Classi Tributo)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TabelleRuoli.doc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Versamento agli Enti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dei versamenti agli Enti beneficiari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Versamento.doc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Anagrafe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dei dati Anagrafici per ruoli ante riforma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Ruoli_Anagrafe.doc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Archiviazione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dell'archiviazione dei dati delle Cartelle di ruolo e relativo ripristino in caso di necessità per attività sulla Cartella archiviata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Ruoli_Archiviazione.doc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Cartellazione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della Cartellazione Ruoli ante riforma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Ruoli_Cartellazione.doc</w:t>
            </w:r>
          </w:p>
        </w:tc>
      </w:tr>
      <w:tr w:rsidR="002B541E" w:rsidRPr="00570696" w:rsidTr="009D4BC9">
        <w:trPr>
          <w:cantSplit/>
          <w:trHeight w:val="3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Versamento agli Enti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dei riversamenti agli Enti (impositori e/o beneficiari)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Ruoli_ContabilitàEnti.doc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 Contenzioso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l'attivazione del Quadro Morosi e degli adempimenti relativi alla gestione del contenzioso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Ruoli_Contenzioso.doc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Deleghe Attive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per l'acquisizione e la gestione delle Deleghe Attive conferite agli </w:t>
            </w:r>
            <w:proofErr w:type="spellStart"/>
            <w:r w:rsidRPr="00570696">
              <w:t>AdR</w:t>
            </w:r>
            <w:proofErr w:type="spellEnd"/>
            <w:r w:rsidRPr="00570696">
              <w:t xml:space="preserve"> sui Ruoli Ante Riforma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Ruoli_DelegheAttive.doc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Domande di Rimborso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l'emissione e stampa delle Domande di Rimborso su Ruoli Ante Riforma - Gestione delle liquidazioni sulle D.R. presentate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Ruoli_DomandeRimborso.doc</w:t>
            </w:r>
          </w:p>
        </w:tc>
      </w:tr>
      <w:tr w:rsidR="002B541E" w:rsidRPr="00570696" w:rsidTr="009D4BC9">
        <w:trPr>
          <w:cantSplit/>
          <w:trHeight w:val="9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Prenotazioni elaborazioni batch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delle prenotazioni di elaborazioni batch di tipo vario (ad es. Report situazione contribuenti, rendicontazione delle riscossioni, report cartelle senza obbligo, etc..)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Ruoli_PrenotazioniVarie.doc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Riscossione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di gestione della Riscossione Ruoli </w:t>
            </w:r>
            <w:proofErr w:type="spellStart"/>
            <w:r w:rsidRPr="00570696">
              <w:t>Antye</w:t>
            </w:r>
            <w:proofErr w:type="spellEnd"/>
            <w:r w:rsidRPr="00570696">
              <w:t xml:space="preserve"> Riforma con Transazioni TP (Sportello on-line, back-office, etc..) ed elaborazioni batch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Ruoli_Riscossione.doc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Sgravi per indebito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Procedura per la gestione degli Sgravi per indebito conferiti agli </w:t>
            </w:r>
            <w:proofErr w:type="spellStart"/>
            <w:r w:rsidRPr="00570696">
              <w:t>AdR</w:t>
            </w:r>
            <w:proofErr w:type="spellEnd"/>
            <w:r w:rsidRPr="00570696">
              <w:t xml:space="preserve"> su Ruoli Ante Riforma e per il recupero delle spese esecutive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Ruoli_Sgravi.doc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Sgravi Provvisori su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l'emissione e la gestione degli Sgravi Provvisori su Ruoli Ante Riforma per D.R. presentate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Ruoli_SgraviProvvisori.doc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Deleghe Passive Ruoli A.R. (SINDEL)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delle Deleghe Passive da flussi telematici con gestione certificazioni e protocolli telematici (Sistema SINDEL-2)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Ruoli_Sindel2.doc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Tabelle Generali per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delle Tabelle base e dei Parametri generali della Procedura Ruoli Ante Riforma per la decodifica e/o l'indicazione comportamentale dell'intero Package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Ruoli_Tabelle.doc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Tolleranze e Sospensioni per Ruoli A.R.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il caricamento e la gestione delle Tolleranze e delle Sospensioni (con relativa Revoca)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Ruoli_TolleranzeSospensioni.doc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Sistema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della Sicurezza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Attivazione e gestione dei moduli di sicurezza per la procedura di gestione Antiriciclaggio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RM2SICUR.doc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Sistema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Schede Parametro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Manuale di gestione delle Schede Parametro per la prenotazione delle elaborazioni Batch del package SET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Mbase.doc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Versamenti Diretti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Conto Giudiziale Versamenti Diretti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compilazione (tutte le Sezioni) del Conto Giudiziale delle riscossioni a mezzo Versamento Diretto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Conto_Giudiziale.doc</w:t>
            </w:r>
          </w:p>
        </w:tc>
      </w:tr>
      <w:tr w:rsidR="002B541E" w:rsidRPr="00570696" w:rsidTr="009D4BC9">
        <w:trPr>
          <w:cantSplit/>
          <w:trHeight w:val="69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Versamenti Diretti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Fasi fine anno Versamenti Diretti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Specifiche tecnico - funzionali per le attività di chiusura di fine esercizio e per la riattivazione del nuovo anno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Fasi fine anno.doc</w:t>
            </w:r>
          </w:p>
        </w:tc>
      </w:tr>
      <w:tr w:rsidR="002B541E" w:rsidRPr="00570696" w:rsidTr="009D4BC9">
        <w:trPr>
          <w:cantSplit/>
          <w:trHeight w:val="9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Versamenti Diretti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Flussi telematici Versamenti Diretti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di gestione e monitoraggio di tutti i Flussi telematici utilizzati dal package (ad es. anagrafica Conto Fiscale, Agevolazioni, Versamenti Unificati, etc..)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Flussi.doc</w:t>
            </w:r>
          </w:p>
        </w:tc>
      </w:tr>
      <w:tr w:rsidR="002B541E" w:rsidRPr="00570696" w:rsidTr="009D4BC9">
        <w:trPr>
          <w:cantSplit/>
          <w:trHeight w:val="705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Versamenti Diretti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Rimborsi in Conto Fiscale (</w:t>
            </w:r>
            <w:proofErr w:type="spellStart"/>
            <w:r w:rsidRPr="00570696">
              <w:t>vers</w:t>
            </w:r>
            <w:proofErr w:type="spellEnd"/>
            <w:r w:rsidRPr="00570696">
              <w:t>. Ante 2011)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dei Rimborsi in Conto Fiscale trasmessi in via telematica e controllo di erogabilità - Versione per Rimborsi emessi ante 2011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Rimborsi ante 2011.doc</w:t>
            </w:r>
          </w:p>
        </w:tc>
      </w:tr>
      <w:tr w:rsidR="002B541E" w:rsidRPr="00570696" w:rsidTr="009D4BC9">
        <w:trPr>
          <w:cantSplit/>
          <w:trHeight w:val="9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lastRenderedPageBreak/>
              <w:t>Versamenti Diretti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Rimborsi in Conto Fiscale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Procedura per la gestione dei Rimborsi in Conto Fiscale trasmessi in via telematica e controllo di erogabilità - Richieste di Rimborso IVA - Cessioni del credito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Rimborsi.doc</w:t>
            </w:r>
          </w:p>
        </w:tc>
      </w:tr>
      <w:tr w:rsidR="002B541E" w:rsidRPr="00570696" w:rsidTr="009D4BC9">
        <w:trPr>
          <w:cantSplit/>
          <w:trHeight w:val="6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Versamenti Diretti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Servizi di Cassa (SAC)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versamenti diretti per Servizi di Cassa (SAC) - riscossioni TP Sportello  e procedure Batch di acquisizione flussi deleghe di versamento da Banche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Servizi_Cassa.doc</w:t>
            </w:r>
          </w:p>
        </w:tc>
      </w:tr>
      <w:tr w:rsidR="002B541E" w:rsidRPr="00570696" w:rsidTr="009D4BC9">
        <w:trPr>
          <w:cantSplit/>
          <w:trHeight w:val="900"/>
        </w:trPr>
        <w:tc>
          <w:tcPr>
            <w:tcW w:w="1411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Versamenti Diretti</w:t>
            </w:r>
          </w:p>
        </w:tc>
        <w:tc>
          <w:tcPr>
            <w:tcW w:w="398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Versamenti Unificati</w:t>
            </w:r>
          </w:p>
        </w:tc>
        <w:tc>
          <w:tcPr>
            <w:tcW w:w="7400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Gestione versamenti unificati tramite F24 - riscossioni TO sportello ed elaborazioni Batch per acquisizione flussi di rendicontazione Deleghe versate in Banca</w:t>
            </w:r>
          </w:p>
        </w:tc>
        <w:tc>
          <w:tcPr>
            <w:tcW w:w="5309" w:type="dxa"/>
            <w:shd w:val="clear" w:color="auto" w:fill="auto"/>
            <w:hideMark/>
          </w:tcPr>
          <w:p w:rsidR="002B541E" w:rsidRPr="00570696" w:rsidRDefault="002B541E" w:rsidP="009D4BC9">
            <w:pPr>
              <w:jc w:val="left"/>
            </w:pPr>
            <w:r w:rsidRPr="00570696">
              <w:t>Versamenti_Unificati.doc</w:t>
            </w:r>
          </w:p>
        </w:tc>
      </w:tr>
    </w:tbl>
    <w:p w:rsidR="002B541E" w:rsidRDefault="002B541E" w:rsidP="002B541E">
      <w:pPr>
        <w:jc w:val="left"/>
      </w:pPr>
    </w:p>
    <w:p w:rsidR="002B541E" w:rsidRDefault="002B541E" w:rsidP="002B541E">
      <w:pPr>
        <w:jc w:val="left"/>
      </w:pPr>
    </w:p>
    <w:p w:rsidR="002B541E" w:rsidRDefault="002B541E" w:rsidP="002B541E">
      <w:pPr>
        <w:jc w:val="left"/>
      </w:pPr>
    </w:p>
    <w:p w:rsidR="002B541E" w:rsidRDefault="002B541E" w:rsidP="002B541E">
      <w:pPr>
        <w:jc w:val="left"/>
      </w:pPr>
    </w:p>
    <w:p w:rsidR="002B541E" w:rsidRDefault="002B541E" w:rsidP="002B541E">
      <w:pPr>
        <w:jc w:val="left"/>
      </w:pPr>
    </w:p>
    <w:p w:rsidR="002B541E" w:rsidRDefault="002B541E" w:rsidP="002B541E">
      <w:pPr>
        <w:jc w:val="left"/>
      </w:pPr>
    </w:p>
    <w:p w:rsidR="002B541E" w:rsidRDefault="002B541E" w:rsidP="002B541E">
      <w:pPr>
        <w:jc w:val="center"/>
        <w:sectPr w:rsidR="002B541E" w:rsidSect="00B9349F">
          <w:pgSz w:w="16840" w:h="11907" w:orient="landscape"/>
          <w:pgMar w:top="851" w:right="1418" w:bottom="851" w:left="1701" w:header="720" w:footer="284" w:gutter="567"/>
          <w:paperSrc w:first="1" w:other="1"/>
          <w:cols w:space="720"/>
          <w:docGrid w:linePitch="299"/>
        </w:sectPr>
      </w:pPr>
    </w:p>
    <w:p w:rsidR="008E263F" w:rsidRPr="00405CC8" w:rsidRDefault="008E263F" w:rsidP="000F35E4"/>
    <w:sectPr w:rsidR="008E263F" w:rsidRPr="00405CC8" w:rsidSect="002B541E">
      <w:footerReference w:type="default" r:id="rId22"/>
      <w:pgSz w:w="11907" w:h="16840" w:code="9"/>
      <w:pgMar w:top="1418" w:right="851" w:bottom="1701" w:left="851" w:header="720" w:footer="284" w:gutter="56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E54" w:rsidRDefault="00073E54">
      <w:r>
        <w:separator/>
      </w:r>
    </w:p>
  </w:endnote>
  <w:endnote w:type="continuationSeparator" w:id="0">
    <w:p w:rsidR="00073E54" w:rsidRDefault="0007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News Gothic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"I testi inseriti nel presente manuale sono protetti da copyright e non possono essere riprodotti</w:t>
    </w:r>
  </w:p>
  <w:p w:rsidR="00072395" w:rsidRDefault="00072395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per scopi commerciali o divulgati senza specifica autorizzazione scritta della società CAD IT S.p.A."</w:t>
    </w:r>
  </w:p>
  <w:p w:rsidR="00072395" w:rsidRDefault="0007239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Pidipagina"/>
      <w:framePr w:wrap="around" w:vAnchor="page" w:hAnchor="page" w:x="10801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072395">
      <w:trPr>
        <w:cantSplit/>
        <w:jc w:val="center"/>
      </w:trPr>
      <w:tc>
        <w:tcPr>
          <w:tcW w:w="3212" w:type="dxa"/>
        </w:tcPr>
        <w:p w:rsidR="00072395" w:rsidRDefault="0007239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072395" w:rsidRDefault="0007239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4E189192" wp14:editId="1F9565B5">
                <wp:extent cx="1181100" cy="314325"/>
                <wp:effectExtent l="0" t="0" r="0" b="9525"/>
                <wp:docPr id="4" name="Immagine 4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072395" w:rsidRDefault="00072395">
          <w:pPr>
            <w:pStyle w:val="Pidipagina"/>
            <w:spacing w:before="480"/>
            <w:jc w:val="right"/>
          </w:pPr>
        </w:p>
      </w:tc>
    </w:tr>
  </w:tbl>
  <w:p w:rsidR="00072395" w:rsidRDefault="0007239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072395">
      <w:trPr>
        <w:cantSplit/>
        <w:jc w:val="center"/>
      </w:trPr>
      <w:tc>
        <w:tcPr>
          <w:tcW w:w="3212" w:type="dxa"/>
        </w:tcPr>
        <w:p w:rsidR="00072395" w:rsidRDefault="0007239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072395" w:rsidRDefault="0007239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416B9829" wp14:editId="57B93AB4">
                <wp:extent cx="1181100" cy="314325"/>
                <wp:effectExtent l="0" t="0" r="0" b="9525"/>
                <wp:docPr id="5" name="Immagine 5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072395" w:rsidRDefault="00072395">
          <w:pPr>
            <w:pStyle w:val="Pidipagina"/>
            <w:spacing w:before="480"/>
            <w:jc w:val="right"/>
          </w:pPr>
        </w:p>
      </w:tc>
    </w:tr>
  </w:tbl>
  <w:p w:rsidR="00072395" w:rsidRDefault="00072395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Pidipagina"/>
      <w:framePr w:wrap="around" w:vAnchor="page" w:hAnchor="page" w:x="10882" w:y="1602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2089D"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072395">
      <w:trPr>
        <w:cantSplit/>
        <w:jc w:val="center"/>
      </w:trPr>
      <w:tc>
        <w:tcPr>
          <w:tcW w:w="3212" w:type="dxa"/>
        </w:tcPr>
        <w:p w:rsidR="00072395" w:rsidRDefault="0007239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072395" w:rsidRDefault="0007239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780DF51D" wp14:editId="4A813EB0">
                <wp:extent cx="1181100" cy="304800"/>
                <wp:effectExtent l="0" t="0" r="0" b="0"/>
                <wp:docPr id="6" name="Immagine 6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072395" w:rsidRDefault="00072395">
          <w:pPr>
            <w:pStyle w:val="Pidipagina"/>
            <w:spacing w:before="480"/>
            <w:jc w:val="right"/>
          </w:pPr>
        </w:p>
      </w:tc>
    </w:tr>
  </w:tbl>
  <w:p w:rsidR="00072395" w:rsidRDefault="00072395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9349F">
      <w:rPr>
        <w:rStyle w:val="Numeropagina"/>
        <w:noProof/>
      </w:rPr>
      <w:t>ii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072395">
      <w:trPr>
        <w:cantSplit/>
        <w:jc w:val="center"/>
      </w:trPr>
      <w:tc>
        <w:tcPr>
          <w:tcW w:w="3212" w:type="dxa"/>
        </w:tcPr>
        <w:p w:rsidR="00072395" w:rsidRDefault="0007239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072395" w:rsidRDefault="0007239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0564E707" wp14:editId="0AFF9BC6">
                <wp:extent cx="1180465" cy="307340"/>
                <wp:effectExtent l="0" t="0" r="635" b="0"/>
                <wp:docPr id="9" name="Immagine 9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046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072395" w:rsidRDefault="00072395">
          <w:pPr>
            <w:pStyle w:val="Pidipagina"/>
            <w:spacing w:before="480"/>
            <w:jc w:val="right"/>
          </w:pPr>
        </w:p>
      </w:tc>
    </w:tr>
  </w:tbl>
  <w:p w:rsidR="00072395" w:rsidRDefault="00072395">
    <w:pPr>
      <w:pStyle w:val="Pidipagin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2089D">
      <w:rPr>
        <w:rStyle w:val="Numeropagina"/>
        <w:noProof/>
      </w:rPr>
      <w:t>2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072395">
      <w:trPr>
        <w:cantSplit/>
        <w:jc w:val="center"/>
      </w:trPr>
      <w:tc>
        <w:tcPr>
          <w:tcW w:w="3212" w:type="dxa"/>
        </w:tcPr>
        <w:p w:rsidR="00072395" w:rsidRDefault="0007239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072395" w:rsidRDefault="0007239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0B07BACF" wp14:editId="4296580D">
                <wp:extent cx="1181100" cy="314325"/>
                <wp:effectExtent l="0" t="0" r="0" b="9525"/>
                <wp:docPr id="10" name="Immagine 10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072395" w:rsidRDefault="00072395">
          <w:pPr>
            <w:pStyle w:val="Pidipagina"/>
            <w:spacing w:before="480"/>
            <w:jc w:val="right"/>
          </w:pPr>
        </w:p>
      </w:tc>
    </w:tr>
  </w:tbl>
  <w:p w:rsidR="00072395" w:rsidRDefault="00072395">
    <w:pPr>
      <w:pStyle w:val="Pidipagin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Pidipagina"/>
      <w:framePr w:wrap="around" w:vAnchor="page" w:hAnchor="margin" w:xAlign="outside" w:y="16019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2089D">
      <w:rPr>
        <w:rStyle w:val="Numeropagina"/>
        <w:noProof/>
      </w:rPr>
      <w:t>13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072395">
      <w:trPr>
        <w:cantSplit/>
        <w:jc w:val="center"/>
      </w:trPr>
      <w:tc>
        <w:tcPr>
          <w:tcW w:w="3212" w:type="dxa"/>
        </w:tcPr>
        <w:p w:rsidR="00072395" w:rsidRDefault="0007239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072395" w:rsidRDefault="0007239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1CBCB970" wp14:editId="0F22BD3B">
                <wp:extent cx="1181100" cy="314325"/>
                <wp:effectExtent l="0" t="0" r="0" b="9525"/>
                <wp:docPr id="11" name="Immagine 11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072395" w:rsidRDefault="00072395">
          <w:pPr>
            <w:pStyle w:val="Pidipagina"/>
            <w:spacing w:before="480"/>
            <w:jc w:val="right"/>
          </w:pPr>
        </w:p>
      </w:tc>
    </w:tr>
  </w:tbl>
  <w:p w:rsidR="00072395" w:rsidRDefault="00072395">
    <w:pPr>
      <w:pStyle w:val="Pidipagin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182" w:rsidRDefault="00B51182">
    <w:pPr>
      <w:pStyle w:val="Pidipagina"/>
      <w:framePr w:wrap="around" w:vAnchor="page" w:hAnchor="margin" w:xAlign="outside" w:y="16019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2089D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B51182">
      <w:trPr>
        <w:cantSplit/>
        <w:jc w:val="center"/>
      </w:trPr>
      <w:tc>
        <w:tcPr>
          <w:tcW w:w="3212" w:type="dxa"/>
        </w:tcPr>
        <w:p w:rsidR="00B51182" w:rsidRDefault="00B51182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B51182" w:rsidRDefault="00B51182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635B8087" wp14:editId="485EB0C1">
                <wp:extent cx="1181100" cy="314325"/>
                <wp:effectExtent l="0" t="0" r="0" b="9525"/>
                <wp:docPr id="2" name="Immagine 2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B51182" w:rsidRDefault="00B51182">
          <w:pPr>
            <w:pStyle w:val="Pidipagina"/>
            <w:spacing w:before="480"/>
            <w:jc w:val="right"/>
          </w:pPr>
        </w:p>
      </w:tc>
    </w:tr>
  </w:tbl>
  <w:p w:rsidR="00B51182" w:rsidRDefault="00B511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E54" w:rsidRDefault="00073E54">
      <w:r>
        <w:separator/>
      </w:r>
    </w:p>
  </w:footnote>
  <w:footnote w:type="continuationSeparator" w:id="0">
    <w:p w:rsidR="00073E54" w:rsidRDefault="00073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Intestazion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Intestazione"/>
      <w:pBdr>
        <w:bottom w:val="none" w:sz="0" w:space="0" w:color="auto"/>
      </w:pBdr>
    </w:pPr>
  </w:p>
  <w:p w:rsidR="00072395" w:rsidRDefault="00072395">
    <w:pPr>
      <w:pStyle w:val="Intestazione"/>
    </w:pPr>
  </w:p>
  <w:p w:rsidR="00072395" w:rsidRDefault="00072395">
    <w:pPr>
      <w:pStyle w:val="Intestazion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Intestazione"/>
      <w:pBdr>
        <w:bottom w:val="none" w:sz="0" w:space="0" w:color="auto"/>
      </w:pBdr>
    </w:pPr>
    <w:r>
      <w:t xml:space="preserve">Modello della struttura </w:t>
    </w:r>
  </w:p>
  <w:p w:rsidR="00072395" w:rsidRDefault="00072395">
    <w:pPr>
      <w:pStyle w:val="Intestazione"/>
    </w:pPr>
  </w:p>
  <w:p w:rsidR="00072395" w:rsidRDefault="00072395">
    <w:pPr>
      <w:pStyle w:val="Intestazione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072395">
    <w:pPr>
      <w:pStyle w:val="Intestazione"/>
      <w:jc w:val="right"/>
    </w:pPr>
  </w:p>
  <w:p w:rsidR="00072395" w:rsidRDefault="00072395">
    <w:pPr>
      <w:pStyle w:val="Intestazione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62089D" w:rsidP="0062089D">
    <w:pPr>
      <w:pStyle w:val="Intestazione"/>
    </w:pPr>
    <w:r>
      <w:t>Logica di business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95" w:rsidRDefault="00B9349F">
    <w:pPr>
      <w:pStyle w:val="Intestazione"/>
      <w:jc w:val="right"/>
    </w:pPr>
    <w:r>
      <w:t>Logica di business</w:t>
    </w:r>
  </w:p>
  <w:p w:rsidR="00072395" w:rsidRDefault="0007239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E12B5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71DFD"/>
    <w:multiLevelType w:val="multilevel"/>
    <w:tmpl w:val="5BA0987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F885FC4"/>
    <w:multiLevelType w:val="hybridMultilevel"/>
    <w:tmpl w:val="65D88398"/>
    <w:lvl w:ilvl="0" w:tplc="B2388B5A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</w:lvl>
  </w:abstractNum>
  <w:abstractNum w:abstractNumId="3">
    <w:nsid w:val="230E0ED0"/>
    <w:multiLevelType w:val="hybridMultilevel"/>
    <w:tmpl w:val="5CFA7C68"/>
    <w:lvl w:ilvl="0" w:tplc="BFDE574C">
      <w:start w:val="2"/>
      <w:numFmt w:val="decimal"/>
      <w:lvlText w:val="%1."/>
      <w:lvlJc w:val="left"/>
      <w:pPr>
        <w:tabs>
          <w:tab w:val="num" w:pos="3478"/>
        </w:tabs>
        <w:ind w:left="34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198"/>
        </w:tabs>
        <w:ind w:left="419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918"/>
        </w:tabs>
        <w:ind w:left="491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638"/>
        </w:tabs>
        <w:ind w:left="563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358"/>
        </w:tabs>
        <w:ind w:left="635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078"/>
        </w:tabs>
        <w:ind w:left="707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798"/>
        </w:tabs>
        <w:ind w:left="779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518"/>
        </w:tabs>
        <w:ind w:left="851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238"/>
        </w:tabs>
        <w:ind w:left="9238" w:hanging="180"/>
      </w:pPr>
    </w:lvl>
  </w:abstractNum>
  <w:abstractNum w:abstractNumId="4">
    <w:nsid w:val="4AEE6293"/>
    <w:multiLevelType w:val="singleLevel"/>
    <w:tmpl w:val="30045A3A"/>
    <w:lvl w:ilvl="0">
      <w:start w:val="1"/>
      <w:numFmt w:val="bullet"/>
      <w:pStyle w:val="Numeroelenco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5">
    <w:nsid w:val="4DCB39E6"/>
    <w:multiLevelType w:val="singleLevel"/>
    <w:tmpl w:val="30045A3A"/>
    <w:lvl w:ilvl="0">
      <w:start w:val="1"/>
      <w:numFmt w:val="bullet"/>
      <w:pStyle w:val="Numeroelenco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6">
    <w:nsid w:val="537E451E"/>
    <w:multiLevelType w:val="hybridMultilevel"/>
    <w:tmpl w:val="BE1842D8"/>
    <w:lvl w:ilvl="0" w:tplc="BE6250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865A55"/>
    <w:multiLevelType w:val="singleLevel"/>
    <w:tmpl w:val="30045A3A"/>
    <w:lvl w:ilvl="0">
      <w:start w:val="1"/>
      <w:numFmt w:val="bullet"/>
      <w:pStyle w:val="Numeroelenco4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8">
    <w:nsid w:val="574425C1"/>
    <w:multiLevelType w:val="singleLevel"/>
    <w:tmpl w:val="30045A3A"/>
    <w:lvl w:ilvl="0">
      <w:start w:val="1"/>
      <w:numFmt w:val="bullet"/>
      <w:pStyle w:val="Numeroelenco5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>
    <w:nsid w:val="5FCE1BF3"/>
    <w:multiLevelType w:val="singleLevel"/>
    <w:tmpl w:val="1960FD2C"/>
    <w:lvl w:ilvl="0">
      <w:start w:val="3"/>
      <w:numFmt w:val="bullet"/>
      <w:pStyle w:val="Puntoelenco3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1D6148E"/>
    <w:multiLevelType w:val="singleLevel"/>
    <w:tmpl w:val="30045A3A"/>
    <w:lvl w:ilvl="0">
      <w:start w:val="1"/>
      <w:numFmt w:val="bullet"/>
      <w:pStyle w:val="Puntoelenco5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1">
    <w:nsid w:val="6AF3321C"/>
    <w:multiLevelType w:val="singleLevel"/>
    <w:tmpl w:val="21B8D4C6"/>
    <w:lvl w:ilvl="0">
      <w:start w:val="1"/>
      <w:numFmt w:val="upperLetter"/>
      <w:pStyle w:val="Puntoelenco2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2">
    <w:nsid w:val="6BDB7470"/>
    <w:multiLevelType w:val="singleLevel"/>
    <w:tmpl w:val="30045A3A"/>
    <w:lvl w:ilvl="0">
      <w:start w:val="1"/>
      <w:numFmt w:val="bullet"/>
      <w:pStyle w:val="Puntoelenco4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3">
    <w:nsid w:val="6F194EDF"/>
    <w:multiLevelType w:val="singleLevel"/>
    <w:tmpl w:val="30045A3A"/>
    <w:lvl w:ilvl="0">
      <w:start w:val="1"/>
      <w:numFmt w:val="bullet"/>
      <w:pStyle w:val="Numeroelenco2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2"/>
  </w:num>
  <w:num w:numId="5">
    <w:abstractNumId w:val="10"/>
  </w:num>
  <w:num w:numId="6">
    <w:abstractNumId w:val="4"/>
  </w:num>
  <w:num w:numId="7">
    <w:abstractNumId w:val="13"/>
  </w:num>
  <w:num w:numId="8">
    <w:abstractNumId w:val="5"/>
  </w:num>
  <w:num w:numId="9">
    <w:abstractNumId w:val="7"/>
  </w:num>
  <w:num w:numId="10">
    <w:abstractNumId w:val="8"/>
  </w:num>
  <w:num w:numId="11">
    <w:abstractNumId w:val="3"/>
  </w:num>
  <w:num w:numId="12">
    <w:abstractNumId w:val="2"/>
  </w:num>
  <w:num w:numId="13">
    <w:abstractNumId w:val="0"/>
  </w:num>
  <w:num w:numId="14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20"/>
    <w:rsid w:val="00013DB3"/>
    <w:rsid w:val="000161F8"/>
    <w:rsid w:val="000266E7"/>
    <w:rsid w:val="00032A45"/>
    <w:rsid w:val="00041987"/>
    <w:rsid w:val="000512CA"/>
    <w:rsid w:val="00072395"/>
    <w:rsid w:val="00072BB9"/>
    <w:rsid w:val="00073E54"/>
    <w:rsid w:val="000751C9"/>
    <w:rsid w:val="0008199D"/>
    <w:rsid w:val="000900E7"/>
    <w:rsid w:val="00091741"/>
    <w:rsid w:val="000973AB"/>
    <w:rsid w:val="000A2636"/>
    <w:rsid w:val="000B04CF"/>
    <w:rsid w:val="000C2CD0"/>
    <w:rsid w:val="000F35E4"/>
    <w:rsid w:val="00100497"/>
    <w:rsid w:val="00102444"/>
    <w:rsid w:val="00120EB1"/>
    <w:rsid w:val="0013108A"/>
    <w:rsid w:val="001643D2"/>
    <w:rsid w:val="00172F8F"/>
    <w:rsid w:val="00174188"/>
    <w:rsid w:val="001828E7"/>
    <w:rsid w:val="00184D01"/>
    <w:rsid w:val="001A31E6"/>
    <w:rsid w:val="001C3811"/>
    <w:rsid w:val="001C40ED"/>
    <w:rsid w:val="001D418B"/>
    <w:rsid w:val="001D4CF3"/>
    <w:rsid w:val="0020334B"/>
    <w:rsid w:val="002213E5"/>
    <w:rsid w:val="002278AE"/>
    <w:rsid w:val="00232054"/>
    <w:rsid w:val="00234577"/>
    <w:rsid w:val="00244499"/>
    <w:rsid w:val="0024496E"/>
    <w:rsid w:val="002573CA"/>
    <w:rsid w:val="00261AAF"/>
    <w:rsid w:val="0026395C"/>
    <w:rsid w:val="00270E6F"/>
    <w:rsid w:val="00271F31"/>
    <w:rsid w:val="00273523"/>
    <w:rsid w:val="00285F0D"/>
    <w:rsid w:val="00292515"/>
    <w:rsid w:val="00292829"/>
    <w:rsid w:val="002B1B5D"/>
    <w:rsid w:val="002B541E"/>
    <w:rsid w:val="002D59C0"/>
    <w:rsid w:val="002F0AC0"/>
    <w:rsid w:val="00317454"/>
    <w:rsid w:val="00323940"/>
    <w:rsid w:val="00327B4F"/>
    <w:rsid w:val="00332C35"/>
    <w:rsid w:val="00342CBE"/>
    <w:rsid w:val="0034534F"/>
    <w:rsid w:val="00355EC6"/>
    <w:rsid w:val="00396915"/>
    <w:rsid w:val="003C2ECA"/>
    <w:rsid w:val="00401E20"/>
    <w:rsid w:val="00405CC8"/>
    <w:rsid w:val="00421A5A"/>
    <w:rsid w:val="00430FCC"/>
    <w:rsid w:val="00435A1D"/>
    <w:rsid w:val="0045210E"/>
    <w:rsid w:val="00453001"/>
    <w:rsid w:val="004805BC"/>
    <w:rsid w:val="004925F3"/>
    <w:rsid w:val="004966CA"/>
    <w:rsid w:val="00497D9A"/>
    <w:rsid w:val="004A581B"/>
    <w:rsid w:val="004A5EDA"/>
    <w:rsid w:val="004C4E0C"/>
    <w:rsid w:val="004C50F3"/>
    <w:rsid w:val="004D21FD"/>
    <w:rsid w:val="004F0948"/>
    <w:rsid w:val="004F0D31"/>
    <w:rsid w:val="00506FDA"/>
    <w:rsid w:val="00515025"/>
    <w:rsid w:val="0052239D"/>
    <w:rsid w:val="00526610"/>
    <w:rsid w:val="0052744B"/>
    <w:rsid w:val="00544906"/>
    <w:rsid w:val="0055683F"/>
    <w:rsid w:val="005774B2"/>
    <w:rsid w:val="005960EF"/>
    <w:rsid w:val="0059751D"/>
    <w:rsid w:val="005A3A47"/>
    <w:rsid w:val="005B5620"/>
    <w:rsid w:val="005D17BA"/>
    <w:rsid w:val="005E3F3C"/>
    <w:rsid w:val="005E7154"/>
    <w:rsid w:val="005F11D2"/>
    <w:rsid w:val="005F3186"/>
    <w:rsid w:val="005F7010"/>
    <w:rsid w:val="006061EA"/>
    <w:rsid w:val="0062089D"/>
    <w:rsid w:val="00620C53"/>
    <w:rsid w:val="00623D50"/>
    <w:rsid w:val="0066295D"/>
    <w:rsid w:val="006674F1"/>
    <w:rsid w:val="006679FC"/>
    <w:rsid w:val="006710F0"/>
    <w:rsid w:val="00673DD5"/>
    <w:rsid w:val="00682E2E"/>
    <w:rsid w:val="00693FDC"/>
    <w:rsid w:val="006978BB"/>
    <w:rsid w:val="006A1FA0"/>
    <w:rsid w:val="006A359B"/>
    <w:rsid w:val="006A7132"/>
    <w:rsid w:val="006B4B21"/>
    <w:rsid w:val="006B6DE6"/>
    <w:rsid w:val="006D2C89"/>
    <w:rsid w:val="006E03EA"/>
    <w:rsid w:val="006F6F29"/>
    <w:rsid w:val="00702454"/>
    <w:rsid w:val="007273F1"/>
    <w:rsid w:val="00742384"/>
    <w:rsid w:val="00770653"/>
    <w:rsid w:val="00777EB3"/>
    <w:rsid w:val="007A01EC"/>
    <w:rsid w:val="007B04FD"/>
    <w:rsid w:val="007B2773"/>
    <w:rsid w:val="007C53FA"/>
    <w:rsid w:val="007C70E0"/>
    <w:rsid w:val="007C7348"/>
    <w:rsid w:val="007D1451"/>
    <w:rsid w:val="007D5353"/>
    <w:rsid w:val="007E1600"/>
    <w:rsid w:val="007E2A14"/>
    <w:rsid w:val="007F0C9C"/>
    <w:rsid w:val="00810428"/>
    <w:rsid w:val="00811076"/>
    <w:rsid w:val="00812807"/>
    <w:rsid w:val="008140A0"/>
    <w:rsid w:val="008231C2"/>
    <w:rsid w:val="00825941"/>
    <w:rsid w:val="0083772C"/>
    <w:rsid w:val="008413E3"/>
    <w:rsid w:val="00852FF1"/>
    <w:rsid w:val="00866040"/>
    <w:rsid w:val="00892923"/>
    <w:rsid w:val="00894486"/>
    <w:rsid w:val="008A2597"/>
    <w:rsid w:val="008B6D41"/>
    <w:rsid w:val="008D2DD9"/>
    <w:rsid w:val="008D737C"/>
    <w:rsid w:val="008E263F"/>
    <w:rsid w:val="00910147"/>
    <w:rsid w:val="00933D08"/>
    <w:rsid w:val="00944ADE"/>
    <w:rsid w:val="00950686"/>
    <w:rsid w:val="0095437C"/>
    <w:rsid w:val="009721B9"/>
    <w:rsid w:val="00987B7E"/>
    <w:rsid w:val="009929AD"/>
    <w:rsid w:val="00995F06"/>
    <w:rsid w:val="009A3917"/>
    <w:rsid w:val="009C6912"/>
    <w:rsid w:val="009F41C3"/>
    <w:rsid w:val="00A0087E"/>
    <w:rsid w:val="00A21F7C"/>
    <w:rsid w:val="00A25991"/>
    <w:rsid w:val="00A34379"/>
    <w:rsid w:val="00A5398E"/>
    <w:rsid w:val="00A73FC6"/>
    <w:rsid w:val="00A81482"/>
    <w:rsid w:val="00A81B29"/>
    <w:rsid w:val="00AB77E8"/>
    <w:rsid w:val="00AD1568"/>
    <w:rsid w:val="00AD36D9"/>
    <w:rsid w:val="00AD5A06"/>
    <w:rsid w:val="00AD74A6"/>
    <w:rsid w:val="00AE50BB"/>
    <w:rsid w:val="00AF104F"/>
    <w:rsid w:val="00B001D8"/>
    <w:rsid w:val="00B018FD"/>
    <w:rsid w:val="00B13164"/>
    <w:rsid w:val="00B14811"/>
    <w:rsid w:val="00B1625D"/>
    <w:rsid w:val="00B2588A"/>
    <w:rsid w:val="00B27FBA"/>
    <w:rsid w:val="00B43142"/>
    <w:rsid w:val="00B436F3"/>
    <w:rsid w:val="00B51182"/>
    <w:rsid w:val="00B836B4"/>
    <w:rsid w:val="00B846B7"/>
    <w:rsid w:val="00B9349F"/>
    <w:rsid w:val="00B96193"/>
    <w:rsid w:val="00BA136E"/>
    <w:rsid w:val="00BA5E0C"/>
    <w:rsid w:val="00BB107F"/>
    <w:rsid w:val="00BB2241"/>
    <w:rsid w:val="00BB2606"/>
    <w:rsid w:val="00BB3A10"/>
    <w:rsid w:val="00BB7711"/>
    <w:rsid w:val="00BE0D5B"/>
    <w:rsid w:val="00BF08A5"/>
    <w:rsid w:val="00BF1D99"/>
    <w:rsid w:val="00C075A6"/>
    <w:rsid w:val="00C10205"/>
    <w:rsid w:val="00C1549A"/>
    <w:rsid w:val="00C20184"/>
    <w:rsid w:val="00C209F1"/>
    <w:rsid w:val="00C35605"/>
    <w:rsid w:val="00C41876"/>
    <w:rsid w:val="00C45D9D"/>
    <w:rsid w:val="00C53982"/>
    <w:rsid w:val="00C607B3"/>
    <w:rsid w:val="00C65C24"/>
    <w:rsid w:val="00C70C05"/>
    <w:rsid w:val="00C80296"/>
    <w:rsid w:val="00C829C4"/>
    <w:rsid w:val="00C83F20"/>
    <w:rsid w:val="00CA3D3A"/>
    <w:rsid w:val="00CC297D"/>
    <w:rsid w:val="00CD3119"/>
    <w:rsid w:val="00CF0A9C"/>
    <w:rsid w:val="00CF3B74"/>
    <w:rsid w:val="00D07920"/>
    <w:rsid w:val="00D63705"/>
    <w:rsid w:val="00D86B5C"/>
    <w:rsid w:val="00D921AD"/>
    <w:rsid w:val="00D949CF"/>
    <w:rsid w:val="00D97CA6"/>
    <w:rsid w:val="00DA61B7"/>
    <w:rsid w:val="00DB1F88"/>
    <w:rsid w:val="00DC108A"/>
    <w:rsid w:val="00DC4148"/>
    <w:rsid w:val="00DC7074"/>
    <w:rsid w:val="00DE0146"/>
    <w:rsid w:val="00DE40DC"/>
    <w:rsid w:val="00DE4302"/>
    <w:rsid w:val="00DF6087"/>
    <w:rsid w:val="00E01528"/>
    <w:rsid w:val="00E05AEF"/>
    <w:rsid w:val="00E11514"/>
    <w:rsid w:val="00E2575D"/>
    <w:rsid w:val="00E3382A"/>
    <w:rsid w:val="00E338FF"/>
    <w:rsid w:val="00E37860"/>
    <w:rsid w:val="00E40B8E"/>
    <w:rsid w:val="00E6266A"/>
    <w:rsid w:val="00E65A5F"/>
    <w:rsid w:val="00E665D5"/>
    <w:rsid w:val="00E6689B"/>
    <w:rsid w:val="00E67B7E"/>
    <w:rsid w:val="00E81183"/>
    <w:rsid w:val="00E91855"/>
    <w:rsid w:val="00E92253"/>
    <w:rsid w:val="00E92928"/>
    <w:rsid w:val="00EB2185"/>
    <w:rsid w:val="00EC3204"/>
    <w:rsid w:val="00F02B40"/>
    <w:rsid w:val="00F13C34"/>
    <w:rsid w:val="00F175A4"/>
    <w:rsid w:val="00F202DB"/>
    <w:rsid w:val="00F35B51"/>
    <w:rsid w:val="00F758A4"/>
    <w:rsid w:val="00F960AC"/>
    <w:rsid w:val="00FA1D11"/>
    <w:rsid w:val="00FA2473"/>
    <w:rsid w:val="00FC0DE4"/>
    <w:rsid w:val="00FE6488"/>
    <w:rsid w:val="00FE74E0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925F3"/>
    <w:pPr>
      <w:jc w:val="both"/>
    </w:pPr>
    <w:rPr>
      <w:sz w:val="22"/>
    </w:rPr>
  </w:style>
  <w:style w:type="paragraph" w:styleId="Titolo1">
    <w:name w:val="heading 1"/>
    <w:basedOn w:val="Normale"/>
    <w:next w:val="Normale"/>
    <w:autoRedefine/>
    <w:qFormat/>
    <w:pPr>
      <w:keepNext/>
      <w:pageBreakBefore/>
      <w:numPr>
        <w:numId w:val="1"/>
      </w:numPr>
      <w:spacing w:after="240"/>
      <w:ind w:left="431" w:hanging="431"/>
      <w:jc w:val="left"/>
      <w:outlineLvl w:val="0"/>
    </w:pPr>
    <w:rPr>
      <w:b/>
      <w:sz w:val="26"/>
    </w:rPr>
  </w:style>
  <w:style w:type="paragraph" w:styleId="Titolo2">
    <w:name w:val="heading 2"/>
    <w:basedOn w:val="Titolo1"/>
    <w:next w:val="Normale"/>
    <w:autoRedefine/>
    <w:qFormat/>
    <w:pPr>
      <w:pageBreakBefore w:val="0"/>
      <w:numPr>
        <w:ilvl w:val="1"/>
      </w:numPr>
      <w:spacing w:before="120" w:after="120"/>
      <w:ind w:left="578" w:hanging="578"/>
      <w:outlineLvl w:val="1"/>
    </w:pPr>
    <w:rPr>
      <w:color w:val="000000"/>
    </w:rPr>
  </w:style>
  <w:style w:type="paragraph" w:styleId="Titolo3">
    <w:name w:val="heading 3"/>
    <w:basedOn w:val="Titolo2"/>
    <w:next w:val="Normale"/>
    <w:autoRedefine/>
    <w:qFormat/>
    <w:pPr>
      <w:numPr>
        <w:ilvl w:val="2"/>
      </w:numPr>
      <w:spacing w:before="240"/>
      <w:outlineLvl w:val="2"/>
    </w:pPr>
  </w:style>
  <w:style w:type="paragraph" w:styleId="Titolo4">
    <w:name w:val="heading 4"/>
    <w:basedOn w:val="Titolo3"/>
    <w:next w:val="Normale"/>
    <w:autoRedefine/>
    <w:qFormat/>
    <w:pPr>
      <w:numPr>
        <w:ilvl w:val="3"/>
      </w:numPr>
      <w:outlineLvl w:val="3"/>
    </w:pPr>
  </w:style>
  <w:style w:type="paragraph" w:styleId="Titolo5">
    <w:name w:val="heading 5"/>
    <w:basedOn w:val="Titolo4"/>
    <w:next w:val="Rientronormale"/>
    <w:autoRedefine/>
    <w:qFormat/>
    <w:pPr>
      <w:numPr>
        <w:ilvl w:val="4"/>
      </w:numPr>
      <w:outlineLvl w:val="4"/>
    </w:pPr>
  </w:style>
  <w:style w:type="paragraph" w:styleId="Titolo6">
    <w:name w:val="heading 6"/>
    <w:basedOn w:val="Normale"/>
    <w:next w:val="Rientronormale"/>
    <w:autoRedefine/>
    <w:qFormat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autoRedefine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xxxDidasc"/>
    <w:next w:val="Normale"/>
    <w:autoRedefine/>
    <w:qFormat/>
    <w:pPr>
      <w:numPr>
        <w:ilvl w:val="7"/>
        <w:numId w:val="1"/>
      </w:numPr>
      <w:ind w:right="-1"/>
      <w:jc w:val="center"/>
      <w:outlineLvl w:val="7"/>
    </w:pPr>
  </w:style>
  <w:style w:type="paragraph" w:styleId="Titolo9">
    <w:name w:val="heading 9"/>
    <w:basedOn w:val="xxxDidasc"/>
    <w:next w:val="Normale"/>
    <w:autoRedefine/>
    <w:qFormat/>
    <w:pPr>
      <w:numPr>
        <w:ilvl w:val="8"/>
        <w:numId w:val="1"/>
      </w:numPr>
      <w:ind w:right="-1"/>
      <w:jc w:val="center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pPr>
      <w:ind w:left="567"/>
    </w:pPr>
  </w:style>
  <w:style w:type="paragraph" w:customStyle="1" w:styleId="xxxDidasc">
    <w:name w:val="xxxDidasc"/>
    <w:basedOn w:val="Normale"/>
    <w:next w:val="Normale"/>
    <w:pPr>
      <w:keepLines/>
      <w:spacing w:before="240" w:after="480"/>
      <w:ind w:left="3261" w:right="2552" w:hanging="993"/>
      <w:jc w:val="left"/>
    </w:pPr>
    <w:rPr>
      <w:rFonts w:ascii="Arial" w:hAnsi="Arial"/>
      <w:sz w:val="20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Sommario8">
    <w:name w:val="toc 8"/>
    <w:basedOn w:val="Sommario1"/>
    <w:next w:val="Normale"/>
    <w:semiHidden/>
    <w:pPr>
      <w:tabs>
        <w:tab w:val="clear" w:pos="8640"/>
        <w:tab w:val="right" w:leader="dot" w:pos="8641"/>
      </w:tabs>
    </w:pPr>
  </w:style>
  <w:style w:type="paragraph" w:styleId="Sommario1">
    <w:name w:val="toc 1"/>
    <w:aliases w:val="Toc 1"/>
    <w:basedOn w:val="Normale"/>
    <w:next w:val="Normale"/>
    <w:uiPriority w:val="39"/>
    <w:rsid w:val="0052239D"/>
    <w:pPr>
      <w:tabs>
        <w:tab w:val="right" w:leader="dot" w:pos="8640"/>
      </w:tabs>
      <w:spacing w:before="120"/>
      <w:ind w:left="567" w:right="1276" w:hanging="567"/>
    </w:pPr>
  </w:style>
  <w:style w:type="paragraph" w:styleId="Sommario7">
    <w:name w:val="toc 7"/>
    <w:basedOn w:val="Normale"/>
    <w:next w:val="Normale"/>
    <w:semiHidden/>
    <w:pPr>
      <w:tabs>
        <w:tab w:val="left" w:leader="dot" w:pos="8646"/>
        <w:tab w:val="right" w:pos="9072"/>
      </w:tabs>
      <w:ind w:left="4253" w:right="850"/>
    </w:pPr>
  </w:style>
  <w:style w:type="paragraph" w:styleId="Sommario6">
    <w:name w:val="toc 6"/>
    <w:basedOn w:val="Normale"/>
    <w:next w:val="Normale"/>
    <w:semiHidden/>
    <w:pPr>
      <w:tabs>
        <w:tab w:val="left" w:leader="dot" w:pos="8646"/>
        <w:tab w:val="right" w:pos="9072"/>
      </w:tabs>
      <w:ind w:left="3544" w:right="850"/>
    </w:pPr>
  </w:style>
  <w:style w:type="paragraph" w:styleId="Sommario5">
    <w:name w:val="toc 5"/>
    <w:basedOn w:val="Sommario4"/>
    <w:next w:val="Normale"/>
    <w:semiHidden/>
    <w:pPr>
      <w:ind w:left="1134"/>
    </w:pPr>
  </w:style>
  <w:style w:type="paragraph" w:styleId="Sommario4">
    <w:name w:val="toc 4"/>
    <w:basedOn w:val="Sommario3"/>
    <w:next w:val="Normale"/>
    <w:uiPriority w:val="39"/>
    <w:rsid w:val="0052239D"/>
    <w:pPr>
      <w:ind w:left="3119" w:hanging="1134"/>
    </w:pPr>
  </w:style>
  <w:style w:type="paragraph" w:styleId="Sommario3">
    <w:name w:val="toc 3"/>
    <w:aliases w:val="Toc 3"/>
    <w:basedOn w:val="Sommario2"/>
    <w:next w:val="Normale"/>
    <w:uiPriority w:val="39"/>
    <w:rsid w:val="0052239D"/>
    <w:pPr>
      <w:ind w:left="1985" w:hanging="851"/>
    </w:pPr>
  </w:style>
  <w:style w:type="paragraph" w:styleId="Sommario2">
    <w:name w:val="toc 2"/>
    <w:aliases w:val="Toc 2"/>
    <w:basedOn w:val="Sommario1"/>
    <w:next w:val="Normale"/>
    <w:uiPriority w:val="39"/>
    <w:rsid w:val="0052239D"/>
    <w:pPr>
      <w:ind w:left="1134"/>
    </w:p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pPr>
      <w:jc w:val="left"/>
    </w:pPr>
    <w:rPr>
      <w:rFonts w:ascii="Arial" w:hAnsi="Arial"/>
      <w:sz w:val="24"/>
    </w:rPr>
  </w:style>
  <w:style w:type="paragraph" w:styleId="Intestazione">
    <w:name w:val="header"/>
    <w:basedOn w:val="Normale"/>
    <w:link w:val="IntestazioneCarattere"/>
    <w:uiPriority w:val="99"/>
    <w:pPr>
      <w:pBdr>
        <w:bottom w:val="single" w:sz="6" w:space="1" w:color="auto"/>
      </w:pBdr>
    </w:pPr>
    <w:rPr>
      <w:rFonts w:ascii="Arial" w:hAnsi="Arial"/>
      <w:sz w:val="16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rFonts w:ascii="Arial" w:hAnsi="Arial"/>
      <w:sz w:val="18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Sommario9">
    <w:name w:val="toc 9"/>
    <w:basedOn w:val="Normale"/>
    <w:next w:val="Normale"/>
    <w:semiHidden/>
    <w:pPr>
      <w:tabs>
        <w:tab w:val="right" w:leader="dot" w:pos="8641"/>
      </w:tabs>
      <w:spacing w:before="120"/>
      <w:ind w:right="1276"/>
    </w:pPr>
  </w:style>
  <w:style w:type="paragraph" w:customStyle="1" w:styleId="FunNome">
    <w:name w:val="FunNome"/>
    <w:basedOn w:val="Normale"/>
    <w:pPr>
      <w:pageBreakBefore/>
      <w:spacing w:after="360"/>
    </w:pPr>
    <w:rPr>
      <w:b/>
      <w:sz w:val="28"/>
    </w:rPr>
  </w:style>
  <w:style w:type="paragraph" w:customStyle="1" w:styleId="FunDescrBreve">
    <w:name w:val="FunDescrBreve"/>
    <w:basedOn w:val="Normale"/>
    <w:pPr>
      <w:spacing w:before="120" w:after="480"/>
    </w:pPr>
    <w:rPr>
      <w:rFonts w:ascii="Helvetica" w:hAnsi="Helvetica"/>
    </w:rPr>
  </w:style>
  <w:style w:type="paragraph" w:customStyle="1" w:styleId="FunDescrEstesa">
    <w:name w:val="FunDescrEstesa"/>
    <w:basedOn w:val="Normale"/>
  </w:style>
  <w:style w:type="paragraph" w:styleId="Rientrocorpodeltesto">
    <w:name w:val="Body Text Indent"/>
    <w:basedOn w:val="Normale"/>
    <w:pPr>
      <w:keepNext/>
      <w:ind w:left="781"/>
      <w:jc w:val="left"/>
    </w:pPr>
    <w:rPr>
      <w:rFonts w:ascii="News Gothic MT" w:hAnsi="News Gothic MT"/>
      <w:color w:val="000080"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NoNum">
    <w:name w:val="ParagNoNum"/>
    <w:basedOn w:val="Normale"/>
    <w:next w:val="Normale"/>
    <w:pPr>
      <w:spacing w:before="360" w:after="120"/>
      <w:jc w:val="left"/>
    </w:pPr>
    <w:rPr>
      <w:b/>
    </w:rPr>
  </w:style>
  <w:style w:type="paragraph" w:customStyle="1" w:styleId="CodiceCOBOL">
    <w:name w:val="CodiceCOBOL"/>
    <w:basedOn w:val="Normale"/>
    <w:pPr>
      <w:tabs>
        <w:tab w:val="left" w:pos="851"/>
        <w:tab w:val="left" w:pos="1701"/>
        <w:tab w:val="left" w:pos="2552"/>
        <w:tab w:val="left" w:pos="3402"/>
      </w:tabs>
      <w:ind w:left="567"/>
    </w:pPr>
    <w:rPr>
      <w:rFonts w:ascii="Courier New" w:hAnsi="Courier New"/>
      <w:sz w:val="20"/>
    </w:rPr>
  </w:style>
  <w:style w:type="paragraph" w:customStyle="1" w:styleId="stilenuovo">
    <w:name w:val="stilenuovo"/>
    <w:basedOn w:val="Titolo1"/>
    <w:pPr>
      <w:keepNext w:val="0"/>
      <w:pageBreakBefore w:val="0"/>
      <w:spacing w:before="1440" w:after="1440"/>
      <w:ind w:left="0" w:firstLine="0"/>
      <w:jc w:val="center"/>
    </w:pPr>
    <w:rPr>
      <w:rFonts w:ascii="Arial" w:hAnsi="Arial"/>
      <w:i/>
      <w:smallCaps/>
      <w:strike/>
      <w:sz w:val="24"/>
    </w:rPr>
  </w:style>
  <w:style w:type="paragraph" w:customStyle="1" w:styleId="Figura">
    <w:name w:val="Figura"/>
    <w:basedOn w:val="Normale"/>
    <w:next w:val="Normale"/>
    <w:pPr>
      <w:keepNext/>
      <w:framePr w:hSpace="142" w:wrap="notBeside" w:vAnchor="text" w:hAnchor="text" w:xAlign="center" w:y="1"/>
      <w:spacing w:before="480" w:after="120"/>
      <w:jc w:val="center"/>
    </w:pPr>
  </w:style>
  <w:style w:type="paragraph" w:customStyle="1" w:styleId="Esempio">
    <w:name w:val="Esempio"/>
    <w:basedOn w:val="Normale"/>
    <w:rPr>
      <w:sz w:val="20"/>
    </w:rPr>
  </w:style>
  <w:style w:type="paragraph" w:customStyle="1" w:styleId="VoceBibliogr">
    <w:name w:val="VoceBibliogr"/>
    <w:basedOn w:val="Normale"/>
    <w:pPr>
      <w:ind w:left="567" w:hanging="567"/>
    </w:pPr>
  </w:style>
  <w:style w:type="paragraph" w:customStyle="1" w:styleId="Mappa">
    <w:name w:val="Mappa"/>
    <w:basedOn w:val="CodiceCOBO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</w:pPr>
  </w:style>
  <w:style w:type="paragraph" w:customStyle="1" w:styleId="titoloNoNum">
    <w:name w:val="titoloNoNum"/>
    <w:basedOn w:val="Titolo1"/>
    <w:next w:val="Normale"/>
    <w:pPr>
      <w:pageBreakBefore w:val="0"/>
      <w:numPr>
        <w:numId w:val="0"/>
      </w:numPr>
    </w:pPr>
  </w:style>
  <w:style w:type="paragraph" w:styleId="Indicedellefigure">
    <w:name w:val="table of figures"/>
    <w:basedOn w:val="Normale"/>
    <w:next w:val="Normale"/>
    <w:semiHidden/>
    <w:pPr>
      <w:ind w:left="440" w:hanging="440"/>
    </w:pPr>
  </w:style>
  <w:style w:type="paragraph" w:customStyle="1" w:styleId="Normale1">
    <w:name w:val="Normale1"/>
    <w:basedOn w:val="Titolo2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customStyle="1" w:styleId="proprieta">
    <w:name w:val="proprieta"/>
    <w:basedOn w:val="Normale"/>
    <w:rPr>
      <w:b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</w:pPr>
  </w:style>
  <w:style w:type="paragraph" w:styleId="Rientrocorpodeltesto2">
    <w:name w:val="Body Text Indent 2"/>
    <w:basedOn w:val="Normale"/>
    <w:pPr>
      <w:ind w:left="709" w:hanging="425"/>
    </w:p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rsid w:val="005F11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B431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4314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C7074"/>
    <w:rPr>
      <w:b/>
      <w:bCs/>
      <w:sz w:val="20"/>
    </w:rPr>
  </w:style>
  <w:style w:type="paragraph" w:customStyle="1" w:styleId="Normale2">
    <w:name w:val="Normale2"/>
    <w:basedOn w:val="Titolo2"/>
    <w:rsid w:val="00DC108A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styleId="Puntoelenco">
    <w:name w:val="List Bullet"/>
    <w:basedOn w:val="Normale"/>
    <w:autoRedefine/>
    <w:rsid w:val="000F35E4"/>
    <w:pPr>
      <w:tabs>
        <w:tab w:val="num" w:pos="432"/>
      </w:tabs>
      <w:ind w:left="432" w:hanging="432"/>
    </w:pPr>
  </w:style>
  <w:style w:type="paragraph" w:styleId="Puntoelenco2">
    <w:name w:val="List Bullet 2"/>
    <w:basedOn w:val="Normale"/>
    <w:autoRedefine/>
    <w:rsid w:val="000F35E4"/>
    <w:pPr>
      <w:numPr>
        <w:numId w:val="2"/>
      </w:numPr>
    </w:pPr>
  </w:style>
  <w:style w:type="paragraph" w:styleId="Puntoelenco3">
    <w:name w:val="List Bullet 3"/>
    <w:basedOn w:val="Normale"/>
    <w:autoRedefine/>
    <w:rsid w:val="000F35E4"/>
    <w:pPr>
      <w:numPr>
        <w:numId w:val="3"/>
      </w:numPr>
    </w:pPr>
  </w:style>
  <w:style w:type="paragraph" w:styleId="Puntoelenco4">
    <w:name w:val="List Bullet 4"/>
    <w:basedOn w:val="Normale"/>
    <w:autoRedefine/>
    <w:rsid w:val="000F35E4"/>
    <w:pPr>
      <w:numPr>
        <w:numId w:val="4"/>
      </w:numPr>
    </w:pPr>
  </w:style>
  <w:style w:type="paragraph" w:styleId="Puntoelenco5">
    <w:name w:val="List Bullet 5"/>
    <w:basedOn w:val="Normale"/>
    <w:autoRedefine/>
    <w:rsid w:val="000F35E4"/>
    <w:pPr>
      <w:numPr>
        <w:numId w:val="5"/>
      </w:numPr>
    </w:pPr>
  </w:style>
  <w:style w:type="paragraph" w:styleId="Numeroelenco">
    <w:name w:val="List Number"/>
    <w:basedOn w:val="Normale"/>
    <w:rsid w:val="000F35E4"/>
    <w:pPr>
      <w:numPr>
        <w:numId w:val="6"/>
      </w:numPr>
    </w:pPr>
  </w:style>
  <w:style w:type="paragraph" w:styleId="Numeroelenco2">
    <w:name w:val="List Number 2"/>
    <w:basedOn w:val="Normale"/>
    <w:rsid w:val="000F35E4"/>
    <w:pPr>
      <w:numPr>
        <w:numId w:val="7"/>
      </w:numPr>
    </w:pPr>
  </w:style>
  <w:style w:type="paragraph" w:styleId="Numeroelenco3">
    <w:name w:val="List Number 3"/>
    <w:basedOn w:val="Normale"/>
    <w:rsid w:val="000F35E4"/>
    <w:pPr>
      <w:numPr>
        <w:numId w:val="8"/>
      </w:numPr>
    </w:pPr>
  </w:style>
  <w:style w:type="paragraph" w:styleId="Numeroelenco4">
    <w:name w:val="List Number 4"/>
    <w:basedOn w:val="Normale"/>
    <w:rsid w:val="000F35E4"/>
    <w:pPr>
      <w:numPr>
        <w:numId w:val="9"/>
      </w:numPr>
    </w:pPr>
  </w:style>
  <w:style w:type="paragraph" w:styleId="Numeroelenco5">
    <w:name w:val="List Number 5"/>
    <w:basedOn w:val="Normale"/>
    <w:rsid w:val="000F35E4"/>
    <w:pPr>
      <w:numPr>
        <w:numId w:val="10"/>
      </w:numPr>
    </w:pPr>
  </w:style>
  <w:style w:type="paragraph" w:customStyle="1" w:styleId="Tracciato">
    <w:name w:val="Tracciato"/>
    <w:basedOn w:val="Normale"/>
    <w:rsid w:val="000F35E4"/>
    <w:rPr>
      <w:rFonts w:ascii="Arial Narrow" w:hAnsi="Arial Narrow"/>
      <w:sz w:val="20"/>
    </w:rPr>
  </w:style>
  <w:style w:type="paragraph" w:customStyle="1" w:styleId="FunParametro">
    <w:name w:val="FunParametro"/>
    <w:basedOn w:val="Normale"/>
    <w:rsid w:val="000F35E4"/>
    <w:pPr>
      <w:tabs>
        <w:tab w:val="left" w:pos="2835"/>
      </w:tabs>
      <w:ind w:left="2835" w:hanging="2268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089D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925F3"/>
    <w:pPr>
      <w:jc w:val="both"/>
    </w:pPr>
    <w:rPr>
      <w:sz w:val="22"/>
    </w:rPr>
  </w:style>
  <w:style w:type="paragraph" w:styleId="Titolo1">
    <w:name w:val="heading 1"/>
    <w:basedOn w:val="Normale"/>
    <w:next w:val="Normale"/>
    <w:autoRedefine/>
    <w:qFormat/>
    <w:pPr>
      <w:keepNext/>
      <w:pageBreakBefore/>
      <w:numPr>
        <w:numId w:val="1"/>
      </w:numPr>
      <w:spacing w:after="240"/>
      <w:ind w:left="431" w:hanging="431"/>
      <w:jc w:val="left"/>
      <w:outlineLvl w:val="0"/>
    </w:pPr>
    <w:rPr>
      <w:b/>
      <w:sz w:val="26"/>
    </w:rPr>
  </w:style>
  <w:style w:type="paragraph" w:styleId="Titolo2">
    <w:name w:val="heading 2"/>
    <w:basedOn w:val="Titolo1"/>
    <w:next w:val="Normale"/>
    <w:autoRedefine/>
    <w:qFormat/>
    <w:pPr>
      <w:pageBreakBefore w:val="0"/>
      <w:numPr>
        <w:ilvl w:val="1"/>
      </w:numPr>
      <w:spacing w:before="120" w:after="120"/>
      <w:ind w:left="578" w:hanging="578"/>
      <w:outlineLvl w:val="1"/>
    </w:pPr>
    <w:rPr>
      <w:color w:val="000000"/>
    </w:rPr>
  </w:style>
  <w:style w:type="paragraph" w:styleId="Titolo3">
    <w:name w:val="heading 3"/>
    <w:basedOn w:val="Titolo2"/>
    <w:next w:val="Normale"/>
    <w:autoRedefine/>
    <w:qFormat/>
    <w:pPr>
      <w:numPr>
        <w:ilvl w:val="2"/>
      </w:numPr>
      <w:spacing w:before="240"/>
      <w:outlineLvl w:val="2"/>
    </w:pPr>
  </w:style>
  <w:style w:type="paragraph" w:styleId="Titolo4">
    <w:name w:val="heading 4"/>
    <w:basedOn w:val="Titolo3"/>
    <w:next w:val="Normale"/>
    <w:autoRedefine/>
    <w:qFormat/>
    <w:pPr>
      <w:numPr>
        <w:ilvl w:val="3"/>
      </w:numPr>
      <w:outlineLvl w:val="3"/>
    </w:pPr>
  </w:style>
  <w:style w:type="paragraph" w:styleId="Titolo5">
    <w:name w:val="heading 5"/>
    <w:basedOn w:val="Titolo4"/>
    <w:next w:val="Rientronormale"/>
    <w:autoRedefine/>
    <w:qFormat/>
    <w:pPr>
      <w:numPr>
        <w:ilvl w:val="4"/>
      </w:numPr>
      <w:outlineLvl w:val="4"/>
    </w:pPr>
  </w:style>
  <w:style w:type="paragraph" w:styleId="Titolo6">
    <w:name w:val="heading 6"/>
    <w:basedOn w:val="Normale"/>
    <w:next w:val="Rientronormale"/>
    <w:autoRedefine/>
    <w:qFormat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autoRedefine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xxxDidasc"/>
    <w:next w:val="Normale"/>
    <w:autoRedefine/>
    <w:qFormat/>
    <w:pPr>
      <w:numPr>
        <w:ilvl w:val="7"/>
        <w:numId w:val="1"/>
      </w:numPr>
      <w:ind w:right="-1"/>
      <w:jc w:val="center"/>
      <w:outlineLvl w:val="7"/>
    </w:pPr>
  </w:style>
  <w:style w:type="paragraph" w:styleId="Titolo9">
    <w:name w:val="heading 9"/>
    <w:basedOn w:val="xxxDidasc"/>
    <w:next w:val="Normale"/>
    <w:autoRedefine/>
    <w:qFormat/>
    <w:pPr>
      <w:numPr>
        <w:ilvl w:val="8"/>
        <w:numId w:val="1"/>
      </w:numPr>
      <w:ind w:right="-1"/>
      <w:jc w:val="center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pPr>
      <w:ind w:left="567"/>
    </w:pPr>
  </w:style>
  <w:style w:type="paragraph" w:customStyle="1" w:styleId="xxxDidasc">
    <w:name w:val="xxxDidasc"/>
    <w:basedOn w:val="Normale"/>
    <w:next w:val="Normale"/>
    <w:pPr>
      <w:keepLines/>
      <w:spacing w:before="240" w:after="480"/>
      <w:ind w:left="3261" w:right="2552" w:hanging="993"/>
      <w:jc w:val="left"/>
    </w:pPr>
    <w:rPr>
      <w:rFonts w:ascii="Arial" w:hAnsi="Arial"/>
      <w:sz w:val="20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Sommario8">
    <w:name w:val="toc 8"/>
    <w:basedOn w:val="Sommario1"/>
    <w:next w:val="Normale"/>
    <w:semiHidden/>
    <w:pPr>
      <w:tabs>
        <w:tab w:val="clear" w:pos="8640"/>
        <w:tab w:val="right" w:leader="dot" w:pos="8641"/>
      </w:tabs>
    </w:pPr>
  </w:style>
  <w:style w:type="paragraph" w:styleId="Sommario1">
    <w:name w:val="toc 1"/>
    <w:aliases w:val="Toc 1"/>
    <w:basedOn w:val="Normale"/>
    <w:next w:val="Normale"/>
    <w:uiPriority w:val="39"/>
    <w:rsid w:val="0052239D"/>
    <w:pPr>
      <w:tabs>
        <w:tab w:val="right" w:leader="dot" w:pos="8640"/>
      </w:tabs>
      <w:spacing w:before="120"/>
      <w:ind w:left="567" w:right="1276" w:hanging="567"/>
    </w:pPr>
  </w:style>
  <w:style w:type="paragraph" w:styleId="Sommario7">
    <w:name w:val="toc 7"/>
    <w:basedOn w:val="Normale"/>
    <w:next w:val="Normale"/>
    <w:semiHidden/>
    <w:pPr>
      <w:tabs>
        <w:tab w:val="left" w:leader="dot" w:pos="8646"/>
        <w:tab w:val="right" w:pos="9072"/>
      </w:tabs>
      <w:ind w:left="4253" w:right="850"/>
    </w:pPr>
  </w:style>
  <w:style w:type="paragraph" w:styleId="Sommario6">
    <w:name w:val="toc 6"/>
    <w:basedOn w:val="Normale"/>
    <w:next w:val="Normale"/>
    <w:semiHidden/>
    <w:pPr>
      <w:tabs>
        <w:tab w:val="left" w:leader="dot" w:pos="8646"/>
        <w:tab w:val="right" w:pos="9072"/>
      </w:tabs>
      <w:ind w:left="3544" w:right="850"/>
    </w:pPr>
  </w:style>
  <w:style w:type="paragraph" w:styleId="Sommario5">
    <w:name w:val="toc 5"/>
    <w:basedOn w:val="Sommario4"/>
    <w:next w:val="Normale"/>
    <w:semiHidden/>
    <w:pPr>
      <w:ind w:left="1134"/>
    </w:pPr>
  </w:style>
  <w:style w:type="paragraph" w:styleId="Sommario4">
    <w:name w:val="toc 4"/>
    <w:basedOn w:val="Sommario3"/>
    <w:next w:val="Normale"/>
    <w:uiPriority w:val="39"/>
    <w:rsid w:val="0052239D"/>
    <w:pPr>
      <w:ind w:left="3119" w:hanging="1134"/>
    </w:pPr>
  </w:style>
  <w:style w:type="paragraph" w:styleId="Sommario3">
    <w:name w:val="toc 3"/>
    <w:aliases w:val="Toc 3"/>
    <w:basedOn w:val="Sommario2"/>
    <w:next w:val="Normale"/>
    <w:uiPriority w:val="39"/>
    <w:rsid w:val="0052239D"/>
    <w:pPr>
      <w:ind w:left="1985" w:hanging="851"/>
    </w:pPr>
  </w:style>
  <w:style w:type="paragraph" w:styleId="Sommario2">
    <w:name w:val="toc 2"/>
    <w:aliases w:val="Toc 2"/>
    <w:basedOn w:val="Sommario1"/>
    <w:next w:val="Normale"/>
    <w:uiPriority w:val="39"/>
    <w:rsid w:val="0052239D"/>
    <w:pPr>
      <w:ind w:left="1134"/>
    </w:p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pPr>
      <w:jc w:val="left"/>
    </w:pPr>
    <w:rPr>
      <w:rFonts w:ascii="Arial" w:hAnsi="Arial"/>
      <w:sz w:val="24"/>
    </w:rPr>
  </w:style>
  <w:style w:type="paragraph" w:styleId="Intestazione">
    <w:name w:val="header"/>
    <w:basedOn w:val="Normale"/>
    <w:link w:val="IntestazioneCarattere"/>
    <w:uiPriority w:val="99"/>
    <w:pPr>
      <w:pBdr>
        <w:bottom w:val="single" w:sz="6" w:space="1" w:color="auto"/>
      </w:pBdr>
    </w:pPr>
    <w:rPr>
      <w:rFonts w:ascii="Arial" w:hAnsi="Arial"/>
      <w:sz w:val="16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rFonts w:ascii="Arial" w:hAnsi="Arial"/>
      <w:sz w:val="18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Sommario9">
    <w:name w:val="toc 9"/>
    <w:basedOn w:val="Normale"/>
    <w:next w:val="Normale"/>
    <w:semiHidden/>
    <w:pPr>
      <w:tabs>
        <w:tab w:val="right" w:leader="dot" w:pos="8641"/>
      </w:tabs>
      <w:spacing w:before="120"/>
      <w:ind w:right="1276"/>
    </w:pPr>
  </w:style>
  <w:style w:type="paragraph" w:customStyle="1" w:styleId="FunNome">
    <w:name w:val="FunNome"/>
    <w:basedOn w:val="Normale"/>
    <w:pPr>
      <w:pageBreakBefore/>
      <w:spacing w:after="360"/>
    </w:pPr>
    <w:rPr>
      <w:b/>
      <w:sz w:val="28"/>
    </w:rPr>
  </w:style>
  <w:style w:type="paragraph" w:customStyle="1" w:styleId="FunDescrBreve">
    <w:name w:val="FunDescrBreve"/>
    <w:basedOn w:val="Normale"/>
    <w:pPr>
      <w:spacing w:before="120" w:after="480"/>
    </w:pPr>
    <w:rPr>
      <w:rFonts w:ascii="Helvetica" w:hAnsi="Helvetica"/>
    </w:rPr>
  </w:style>
  <w:style w:type="paragraph" w:customStyle="1" w:styleId="FunDescrEstesa">
    <w:name w:val="FunDescrEstesa"/>
    <w:basedOn w:val="Normale"/>
  </w:style>
  <w:style w:type="paragraph" w:styleId="Rientrocorpodeltesto">
    <w:name w:val="Body Text Indent"/>
    <w:basedOn w:val="Normale"/>
    <w:pPr>
      <w:keepNext/>
      <w:ind w:left="781"/>
      <w:jc w:val="left"/>
    </w:pPr>
    <w:rPr>
      <w:rFonts w:ascii="News Gothic MT" w:hAnsi="News Gothic MT"/>
      <w:color w:val="000080"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NoNum">
    <w:name w:val="ParagNoNum"/>
    <w:basedOn w:val="Normale"/>
    <w:next w:val="Normale"/>
    <w:pPr>
      <w:spacing w:before="360" w:after="120"/>
      <w:jc w:val="left"/>
    </w:pPr>
    <w:rPr>
      <w:b/>
    </w:rPr>
  </w:style>
  <w:style w:type="paragraph" w:customStyle="1" w:styleId="CodiceCOBOL">
    <w:name w:val="CodiceCOBOL"/>
    <w:basedOn w:val="Normale"/>
    <w:pPr>
      <w:tabs>
        <w:tab w:val="left" w:pos="851"/>
        <w:tab w:val="left" w:pos="1701"/>
        <w:tab w:val="left" w:pos="2552"/>
        <w:tab w:val="left" w:pos="3402"/>
      </w:tabs>
      <w:ind w:left="567"/>
    </w:pPr>
    <w:rPr>
      <w:rFonts w:ascii="Courier New" w:hAnsi="Courier New"/>
      <w:sz w:val="20"/>
    </w:rPr>
  </w:style>
  <w:style w:type="paragraph" w:customStyle="1" w:styleId="stilenuovo">
    <w:name w:val="stilenuovo"/>
    <w:basedOn w:val="Titolo1"/>
    <w:pPr>
      <w:keepNext w:val="0"/>
      <w:pageBreakBefore w:val="0"/>
      <w:spacing w:before="1440" w:after="1440"/>
      <w:ind w:left="0" w:firstLine="0"/>
      <w:jc w:val="center"/>
    </w:pPr>
    <w:rPr>
      <w:rFonts w:ascii="Arial" w:hAnsi="Arial"/>
      <w:i/>
      <w:smallCaps/>
      <w:strike/>
      <w:sz w:val="24"/>
    </w:rPr>
  </w:style>
  <w:style w:type="paragraph" w:customStyle="1" w:styleId="Figura">
    <w:name w:val="Figura"/>
    <w:basedOn w:val="Normale"/>
    <w:next w:val="Normale"/>
    <w:pPr>
      <w:keepNext/>
      <w:framePr w:hSpace="142" w:wrap="notBeside" w:vAnchor="text" w:hAnchor="text" w:xAlign="center" w:y="1"/>
      <w:spacing w:before="480" w:after="120"/>
      <w:jc w:val="center"/>
    </w:pPr>
  </w:style>
  <w:style w:type="paragraph" w:customStyle="1" w:styleId="Esempio">
    <w:name w:val="Esempio"/>
    <w:basedOn w:val="Normale"/>
    <w:rPr>
      <w:sz w:val="20"/>
    </w:rPr>
  </w:style>
  <w:style w:type="paragraph" w:customStyle="1" w:styleId="VoceBibliogr">
    <w:name w:val="VoceBibliogr"/>
    <w:basedOn w:val="Normale"/>
    <w:pPr>
      <w:ind w:left="567" w:hanging="567"/>
    </w:pPr>
  </w:style>
  <w:style w:type="paragraph" w:customStyle="1" w:styleId="Mappa">
    <w:name w:val="Mappa"/>
    <w:basedOn w:val="CodiceCOBO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</w:pPr>
  </w:style>
  <w:style w:type="paragraph" w:customStyle="1" w:styleId="titoloNoNum">
    <w:name w:val="titoloNoNum"/>
    <w:basedOn w:val="Titolo1"/>
    <w:next w:val="Normale"/>
    <w:pPr>
      <w:pageBreakBefore w:val="0"/>
      <w:numPr>
        <w:numId w:val="0"/>
      </w:numPr>
    </w:pPr>
  </w:style>
  <w:style w:type="paragraph" w:styleId="Indicedellefigure">
    <w:name w:val="table of figures"/>
    <w:basedOn w:val="Normale"/>
    <w:next w:val="Normale"/>
    <w:semiHidden/>
    <w:pPr>
      <w:ind w:left="440" w:hanging="440"/>
    </w:pPr>
  </w:style>
  <w:style w:type="paragraph" w:customStyle="1" w:styleId="Normale1">
    <w:name w:val="Normale1"/>
    <w:basedOn w:val="Titolo2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customStyle="1" w:styleId="proprieta">
    <w:name w:val="proprieta"/>
    <w:basedOn w:val="Normale"/>
    <w:rPr>
      <w:b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</w:pPr>
  </w:style>
  <w:style w:type="paragraph" w:styleId="Rientrocorpodeltesto2">
    <w:name w:val="Body Text Indent 2"/>
    <w:basedOn w:val="Normale"/>
    <w:pPr>
      <w:ind w:left="709" w:hanging="425"/>
    </w:p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rsid w:val="005F11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B431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4314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C7074"/>
    <w:rPr>
      <w:b/>
      <w:bCs/>
      <w:sz w:val="20"/>
    </w:rPr>
  </w:style>
  <w:style w:type="paragraph" w:customStyle="1" w:styleId="Normale2">
    <w:name w:val="Normale2"/>
    <w:basedOn w:val="Titolo2"/>
    <w:rsid w:val="00DC108A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styleId="Puntoelenco">
    <w:name w:val="List Bullet"/>
    <w:basedOn w:val="Normale"/>
    <w:autoRedefine/>
    <w:rsid w:val="000F35E4"/>
    <w:pPr>
      <w:tabs>
        <w:tab w:val="num" w:pos="432"/>
      </w:tabs>
      <w:ind w:left="432" w:hanging="432"/>
    </w:pPr>
  </w:style>
  <w:style w:type="paragraph" w:styleId="Puntoelenco2">
    <w:name w:val="List Bullet 2"/>
    <w:basedOn w:val="Normale"/>
    <w:autoRedefine/>
    <w:rsid w:val="000F35E4"/>
    <w:pPr>
      <w:numPr>
        <w:numId w:val="2"/>
      </w:numPr>
    </w:pPr>
  </w:style>
  <w:style w:type="paragraph" w:styleId="Puntoelenco3">
    <w:name w:val="List Bullet 3"/>
    <w:basedOn w:val="Normale"/>
    <w:autoRedefine/>
    <w:rsid w:val="000F35E4"/>
    <w:pPr>
      <w:numPr>
        <w:numId w:val="3"/>
      </w:numPr>
    </w:pPr>
  </w:style>
  <w:style w:type="paragraph" w:styleId="Puntoelenco4">
    <w:name w:val="List Bullet 4"/>
    <w:basedOn w:val="Normale"/>
    <w:autoRedefine/>
    <w:rsid w:val="000F35E4"/>
    <w:pPr>
      <w:numPr>
        <w:numId w:val="4"/>
      </w:numPr>
    </w:pPr>
  </w:style>
  <w:style w:type="paragraph" w:styleId="Puntoelenco5">
    <w:name w:val="List Bullet 5"/>
    <w:basedOn w:val="Normale"/>
    <w:autoRedefine/>
    <w:rsid w:val="000F35E4"/>
    <w:pPr>
      <w:numPr>
        <w:numId w:val="5"/>
      </w:numPr>
    </w:pPr>
  </w:style>
  <w:style w:type="paragraph" w:styleId="Numeroelenco">
    <w:name w:val="List Number"/>
    <w:basedOn w:val="Normale"/>
    <w:rsid w:val="000F35E4"/>
    <w:pPr>
      <w:numPr>
        <w:numId w:val="6"/>
      </w:numPr>
    </w:pPr>
  </w:style>
  <w:style w:type="paragraph" w:styleId="Numeroelenco2">
    <w:name w:val="List Number 2"/>
    <w:basedOn w:val="Normale"/>
    <w:rsid w:val="000F35E4"/>
    <w:pPr>
      <w:numPr>
        <w:numId w:val="7"/>
      </w:numPr>
    </w:pPr>
  </w:style>
  <w:style w:type="paragraph" w:styleId="Numeroelenco3">
    <w:name w:val="List Number 3"/>
    <w:basedOn w:val="Normale"/>
    <w:rsid w:val="000F35E4"/>
    <w:pPr>
      <w:numPr>
        <w:numId w:val="8"/>
      </w:numPr>
    </w:pPr>
  </w:style>
  <w:style w:type="paragraph" w:styleId="Numeroelenco4">
    <w:name w:val="List Number 4"/>
    <w:basedOn w:val="Normale"/>
    <w:rsid w:val="000F35E4"/>
    <w:pPr>
      <w:numPr>
        <w:numId w:val="9"/>
      </w:numPr>
    </w:pPr>
  </w:style>
  <w:style w:type="paragraph" w:styleId="Numeroelenco5">
    <w:name w:val="List Number 5"/>
    <w:basedOn w:val="Normale"/>
    <w:rsid w:val="000F35E4"/>
    <w:pPr>
      <w:numPr>
        <w:numId w:val="10"/>
      </w:numPr>
    </w:pPr>
  </w:style>
  <w:style w:type="paragraph" w:customStyle="1" w:styleId="Tracciato">
    <w:name w:val="Tracciato"/>
    <w:basedOn w:val="Normale"/>
    <w:rsid w:val="000F35E4"/>
    <w:rPr>
      <w:rFonts w:ascii="Arial Narrow" w:hAnsi="Arial Narrow"/>
      <w:sz w:val="20"/>
    </w:rPr>
  </w:style>
  <w:style w:type="paragraph" w:customStyle="1" w:styleId="FunParametro">
    <w:name w:val="FunParametro"/>
    <w:basedOn w:val="Normale"/>
    <w:rsid w:val="000F35E4"/>
    <w:pPr>
      <w:tabs>
        <w:tab w:val="left" w:pos="2835"/>
      </w:tabs>
      <w:ind w:left="2835" w:hanging="2268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089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8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elli\cad\CADITOP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CADITOPE</Template>
  <TotalTime>22</TotalTime>
  <Pages>19</Pages>
  <Words>3471</Words>
  <Characters>19790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Tabelle gestionali</vt:lpstr>
    </vt:vector>
  </TitlesOfParts>
  <Company>cad informatica</Company>
  <LinksUpToDate>false</LinksUpToDate>
  <CharactersWithSpaces>23215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 gestionali</dc:title>
  <dc:subject>S E T Sistema Esazione Tributi</dc:subject>
  <dc:creator>CAD IT</dc:creator>
  <cp:keywords>standard, documento</cp:keywords>
  <cp:lastModifiedBy>Fae' Massimo</cp:lastModifiedBy>
  <cp:revision>5</cp:revision>
  <cp:lastPrinted>2013-09-27T09:28:00Z</cp:lastPrinted>
  <dcterms:created xsi:type="dcterms:W3CDTF">2014-10-03T08:45:00Z</dcterms:created>
  <dcterms:modified xsi:type="dcterms:W3CDTF">2014-10-03T12:44:00Z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rminato il">
    <vt:lpwstr>22.04.2014</vt:lpwstr>
  </property>
</Properties>
</file>